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0" w:firstLineChars="0"/>
        <w:rPr>
          <w:rFonts w:hint="eastAsia" w:ascii="黑体" w:hAnsi="黑体" w:eastAsia="黑体" w:cs="黑体"/>
          <w:color w:val="auto"/>
          <w:sz w:val="32"/>
          <w:szCs w:val="22"/>
        </w:rPr>
      </w:pPr>
      <w:r>
        <w:rPr>
          <w:rFonts w:hint="eastAsia" w:ascii="黑体" w:hAnsi="黑体" w:eastAsia="黑体" w:cs="黑体"/>
          <w:color w:val="auto"/>
          <w:sz w:val="32"/>
          <w:szCs w:val="22"/>
        </w:rPr>
        <w:t>附件2</w:t>
      </w:r>
    </w:p>
    <w:p>
      <w:pPr>
        <w:widowControl/>
        <w:spacing w:line="360" w:lineRule="auto"/>
        <w:ind w:right="32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北京市先天性心脏病一体化服务评估表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6251"/>
        <w:gridCol w:w="837"/>
        <w:gridCol w:w="3685"/>
        <w:gridCol w:w="7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ascii="黑体" w:hAnsi="黑体" w:eastAsia="黑体" w:cs="方正黑体_GBK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方正黑体_GBK"/>
                <w:color w:val="auto"/>
                <w:kern w:val="0"/>
                <w:sz w:val="21"/>
                <w:szCs w:val="21"/>
                <w:lang w:bidi="ar"/>
              </w:rPr>
              <w:t>机构名称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方正黑体_GBK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方正黑体_GBK"/>
                <w:color w:val="auto"/>
                <w:kern w:val="0"/>
                <w:sz w:val="21"/>
                <w:szCs w:val="21"/>
                <w:lang w:bidi="ar"/>
              </w:rPr>
              <w:t>评估内容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方正黑体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auto"/>
                <w:kern w:val="0"/>
                <w:sz w:val="21"/>
                <w:szCs w:val="21"/>
                <w:lang w:bidi="ar"/>
              </w:rPr>
              <w:t>分值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方正黑体_GBK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方正黑体_GBK"/>
                <w:color w:val="auto"/>
                <w:kern w:val="0"/>
                <w:sz w:val="21"/>
                <w:szCs w:val="21"/>
                <w:lang w:eastAsia="zh-CN" w:bidi="ar"/>
              </w:rPr>
              <w:t>（分）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方正黑体_GBK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方正黑体_GBK"/>
                <w:color w:val="auto"/>
                <w:kern w:val="0"/>
                <w:sz w:val="21"/>
                <w:szCs w:val="21"/>
                <w:lang w:bidi="ar"/>
              </w:rPr>
              <w:t>评估方法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方正黑体_GBK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方正黑体_GBK"/>
                <w:color w:val="auto"/>
                <w:kern w:val="0"/>
                <w:sz w:val="21"/>
                <w:szCs w:val="21"/>
                <w:lang w:bidi="ar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机构管理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（30分）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1.制定支持开展先天性心脏病一体化服务的相关政策和工作制度，将此项工作纳入医疗机构中长期发展规划。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查阅资料，无支持政策扣4分，无制度扣3分，无发展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规划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扣3分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2.明确牵头工作部门及责任分工，制定人才培养计划，有计划推进专业人员培训全覆盖，提高保健及临床服务能力。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查阅资料，无相关工作安排不得分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3.定期开展工作质控评估，提高服务质量。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查阅资料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每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季度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至少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开展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次工作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质控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评估。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缺少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1次扣2.5分，扣完为止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婚前孕前保健机构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（70分）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1.开展先天性心脏病高危因素筛查，病历记录完整、规范。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查阅资料并结合妇幼信息系统查看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病历，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筛查项目、工作记录不完整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每份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扣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0分，不规范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每份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扣10分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，扣完为止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2.对高危因素者提供合理咨询指导，必要时进行转诊。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随机抽查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全年转诊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病历，无咨询指导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每份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扣10分，转诊不符合要求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每份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扣10分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，扣完为止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针对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高危因素者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开展一对一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健康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宣传指导。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抽查高危因素者病历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10份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，无健康宣传指导内容每份扣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5分，扣完为止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.定期开展先天性心脏病健康宣教。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每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年至少开展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次健康宣教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，缺少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扣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分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产前筛查机构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（70分）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1.对妊娠20-24周孕妇开展先天性心脏病超声筛查全覆盖。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随机抽查筛查病历20份，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一份不合格扣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分，扣完为止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2.心脏筛查切面存图规范。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抽查筛查病历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0份，调阅存图，病例中出现一次存图不规范，计为不规范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病历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一份不规范病历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扣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分，扣完为止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3.严重先天性心脏病筛查正确符合率大于70%。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查看全年转会诊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，计算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符合率，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每下降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个百分点扣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分，扣完为止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4.对胎儿先天性心脏病筛查可疑异常的孕妇开具《北京市产前筛查与产前诊断转诊会诊单（超声）》，指导孕妇3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内至对口产前诊断机构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预约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超声诊断，转诊率达100%。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随机查看全年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筛查登记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及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转会诊单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，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转诊率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每下降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个百分点扣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分，扣完为止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5.分别于转诊后2个月内和分娩后2个月内完成转诊孕妇追访，追访率达100%。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查看全年转会诊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，追访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每下降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个百分点扣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分，扣完为止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6.安排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人员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负责相关数据报送与信息系统录入，数据完整、准确。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通过信息系统查看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信息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录入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，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并结合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日常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工作反馈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情况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一项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不符合要求扣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5分，扣完为止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产前诊断机构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（70分）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1.优化接转诊服务流程，在接到筛查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机构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转诊病例10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内完成诊断，及时性达100%。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查看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资料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随机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转诊病历10份，一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份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不符合要求扣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分，扣完为止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2.联合治疗机构建立先天性心脏病多学科会诊机制，根据病情需要对转诊病例开展多学科会诊，提出科学干预建议。会诊人员高级职称比例达100%。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10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查看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资料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随机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会诊病历10份，一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份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不符合要求扣5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分，扣完为止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.对继续妊娠孕妇定期开展随访并进行信息报送，随访率及信息上报及时完整率达到100%。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随机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病历10份，一份不符合要求扣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分，扣完为止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.产前超声诊断符合率大于85%。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10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随机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诊断病历10份，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符合率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每下降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个百分点扣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分，扣完为止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.会诊意见出具合理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" w:eastAsia="zh-CN" w:bidi="ar"/>
              </w:rPr>
              <w:t>，会诊意见落实到位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10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随机抽查会诊病历10份，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重点考查辅助检查合理性、医学建议准确性。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一份不合理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扣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分，扣完为止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.新生儿预后良好比例大于98%以上。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随机抽查新生儿救治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病历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10份，与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上报数据进行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核对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比例每下降1个百分点扣2分，扣完为止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.安排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人员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负责相关数据报送与信息系统录入，数据完整、准确。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通过信息系统查看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信息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录入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，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并结合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日常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工作反馈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情况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一项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不符合要求扣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分，扣完为止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新生儿治疗机构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（70分）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1.组建会诊团队，参加产前诊断机构会诊工作，会诊人员高级职称比例达100%。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查看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资料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随机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全年会诊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病历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10份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，一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份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不符合要求扣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分，扣完为止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2.会诊意见出具合理，会诊意见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落实到位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查看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资料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随机抽查会诊病历10份，一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份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不符合要求扣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分，扣完为止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3.建立绿色转诊通道，转诊流程合理，接诊先天性心脏病患儿。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查看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资料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随机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转诊病历10份，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一份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不符合要求扣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分，扣完为止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新生儿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病例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救治成功率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大于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95%以上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新生儿预后良好比例大于98%以上。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查看全年救治病历，并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与上报数据进行核对，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每项指标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比例每下降1个百分点扣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分，扣完为止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.转诊病例手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术围生期死亡率小于1%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新生儿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动脉导管未闭（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PDA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依赖型复杂心脏病手术围生期死亡率小于10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%。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查看全年转诊病历，围生期死亡率每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上升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0.1个百分点扣2分，新生儿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动脉导管未闭（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PDA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依赖型复杂心脏病手术围生期死亡率每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上升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1个百分点扣2分，扣完为止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.对术后和暂无手术指征患儿开展随访并进行信息报送，随访率及信息上报及时且信息完整。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查看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登记本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及结合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日常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工作反馈，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随访率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信息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报送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完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达不到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要求每项扣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分 ，扣完为止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.安排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人员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负责相关数据报送与信息系统录入，数据完整、准确。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通过信息系统查看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信息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录入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，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结合平时的工作反馈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情况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一项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不符合要求扣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分，扣完为止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</w:tbl>
    <w:p>
      <w:pPr>
        <w:spacing w:line="520" w:lineRule="exact"/>
        <w:ind w:right="320" w:firstLine="0" w:firstLineChars="0"/>
        <w:rPr>
          <w:rFonts w:hint="eastAsia" w:ascii="仿宋_GB2312" w:hAnsi="方正小标宋简体" w:cs="方正小标宋简体"/>
          <w:color w:val="auto"/>
          <w:szCs w:val="32"/>
        </w:rPr>
        <w:sectPr>
          <w:pgSz w:w="16838" w:h="11906" w:orient="landscape"/>
          <w:pgMar w:top="2098" w:right="1587" w:bottom="1984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footerReference r:id="rId7" w:type="even"/>
      <w:pgSz w:w="16838" w:h="11906" w:orient="landscape"/>
      <w:pgMar w:top="1588" w:right="2098" w:bottom="1474" w:left="1985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210" w:leftChars="100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－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4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－</w:t>
    </w:r>
  </w:p>
  <w:p>
    <w:pPr>
      <w:pStyle w:val="4"/>
      <w:ind w:right="360" w:firstLine="360"/>
      <w:rPr>
        <w:rFonts w:ascii="宋体" w:hAnsi="宋体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C2754"/>
    <w:rsid w:val="00BE39DE"/>
    <w:rsid w:val="027C16B8"/>
    <w:rsid w:val="059E2D61"/>
    <w:rsid w:val="0702412D"/>
    <w:rsid w:val="07465F1D"/>
    <w:rsid w:val="07A13A99"/>
    <w:rsid w:val="098D7D07"/>
    <w:rsid w:val="09D37D46"/>
    <w:rsid w:val="0A416590"/>
    <w:rsid w:val="0AE43B71"/>
    <w:rsid w:val="0C191D25"/>
    <w:rsid w:val="0D0F6543"/>
    <w:rsid w:val="0E3B799D"/>
    <w:rsid w:val="0F1A64E0"/>
    <w:rsid w:val="10BD324F"/>
    <w:rsid w:val="10DC4F92"/>
    <w:rsid w:val="126679E3"/>
    <w:rsid w:val="12C17203"/>
    <w:rsid w:val="139D30C7"/>
    <w:rsid w:val="142E7791"/>
    <w:rsid w:val="1430235A"/>
    <w:rsid w:val="143C4EDC"/>
    <w:rsid w:val="149C7B8C"/>
    <w:rsid w:val="1538070B"/>
    <w:rsid w:val="15AD71D1"/>
    <w:rsid w:val="16337DFA"/>
    <w:rsid w:val="19362169"/>
    <w:rsid w:val="1A741C95"/>
    <w:rsid w:val="1BF974E3"/>
    <w:rsid w:val="1DFE71E1"/>
    <w:rsid w:val="1E8D16A5"/>
    <w:rsid w:val="1F223576"/>
    <w:rsid w:val="20555F76"/>
    <w:rsid w:val="22A61CC2"/>
    <w:rsid w:val="23825FAA"/>
    <w:rsid w:val="23B24AE2"/>
    <w:rsid w:val="23F31321"/>
    <w:rsid w:val="275A34C6"/>
    <w:rsid w:val="27FF7BCA"/>
    <w:rsid w:val="28CE464D"/>
    <w:rsid w:val="2A500721"/>
    <w:rsid w:val="2A5F42E4"/>
    <w:rsid w:val="2AAE7B1B"/>
    <w:rsid w:val="2C490FEF"/>
    <w:rsid w:val="2C77727F"/>
    <w:rsid w:val="2DF316F7"/>
    <w:rsid w:val="304557D8"/>
    <w:rsid w:val="372847D4"/>
    <w:rsid w:val="385A2AE8"/>
    <w:rsid w:val="39C809FB"/>
    <w:rsid w:val="3EF1169A"/>
    <w:rsid w:val="441C7FD3"/>
    <w:rsid w:val="45C565EC"/>
    <w:rsid w:val="4B645C7A"/>
    <w:rsid w:val="4CBE712F"/>
    <w:rsid w:val="4CF82CB6"/>
    <w:rsid w:val="4D2C4661"/>
    <w:rsid w:val="4DE81745"/>
    <w:rsid w:val="4EC40AAC"/>
    <w:rsid w:val="4F353A65"/>
    <w:rsid w:val="50161CC6"/>
    <w:rsid w:val="503F55AC"/>
    <w:rsid w:val="50B2385B"/>
    <w:rsid w:val="513044BE"/>
    <w:rsid w:val="518C1080"/>
    <w:rsid w:val="546365A3"/>
    <w:rsid w:val="55766852"/>
    <w:rsid w:val="58CE6FC1"/>
    <w:rsid w:val="59B60656"/>
    <w:rsid w:val="5C501E2D"/>
    <w:rsid w:val="5E8B68CF"/>
    <w:rsid w:val="61AD053C"/>
    <w:rsid w:val="637D4B55"/>
    <w:rsid w:val="63E643B8"/>
    <w:rsid w:val="640E4E7E"/>
    <w:rsid w:val="65FD37CF"/>
    <w:rsid w:val="66723E06"/>
    <w:rsid w:val="66B17ADD"/>
    <w:rsid w:val="672F227A"/>
    <w:rsid w:val="678720E2"/>
    <w:rsid w:val="68703912"/>
    <w:rsid w:val="6919500A"/>
    <w:rsid w:val="6A0532A1"/>
    <w:rsid w:val="6C6966AA"/>
    <w:rsid w:val="6C992961"/>
    <w:rsid w:val="6F92331A"/>
    <w:rsid w:val="70A37393"/>
    <w:rsid w:val="711E7A05"/>
    <w:rsid w:val="72372D87"/>
    <w:rsid w:val="727A6A13"/>
    <w:rsid w:val="72D72911"/>
    <w:rsid w:val="73104330"/>
    <w:rsid w:val="750F3DE0"/>
    <w:rsid w:val="75FD4DF0"/>
    <w:rsid w:val="76A06818"/>
    <w:rsid w:val="77316C5C"/>
    <w:rsid w:val="773C186D"/>
    <w:rsid w:val="777A449D"/>
    <w:rsid w:val="778F3545"/>
    <w:rsid w:val="77F83326"/>
    <w:rsid w:val="78542BE7"/>
    <w:rsid w:val="79705CA0"/>
    <w:rsid w:val="79863E66"/>
    <w:rsid w:val="7A6823CB"/>
    <w:rsid w:val="7A701748"/>
    <w:rsid w:val="7C3866D8"/>
    <w:rsid w:val="7C724BD9"/>
    <w:rsid w:val="7D7C4771"/>
    <w:rsid w:val="7E0F492A"/>
    <w:rsid w:val="7E18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9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UserStyle_0"/>
    <w:link w:val="12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2">
    <w:name w:val="UserStyle_1"/>
    <w:basedOn w:val="1"/>
    <w:link w:val="11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3">
    <w:name w:val="UserStyle_2"/>
    <w:link w:val="14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4">
    <w:name w:val="UserStyle_3"/>
    <w:basedOn w:val="1"/>
    <w:link w:val="13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5">
    <w:name w:val="UserStyle_4"/>
    <w:qFormat/>
    <w:uiPriority w:val="0"/>
    <w:rPr>
      <w:rFonts w:ascii="Calibri" w:hAnsi="Calibri" w:eastAsia="宋体"/>
    </w:rPr>
  </w:style>
  <w:style w:type="character" w:customStyle="1" w:styleId="16">
    <w:name w:val="NormalCharacter"/>
    <w:qFormat/>
    <w:uiPriority w:val="0"/>
  </w:style>
  <w:style w:type="character" w:customStyle="1" w:styleId="17">
    <w:name w:val="font4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8">
    <w:name w:val="font3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9">
    <w:name w:val="font2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2022-01-10T23:51:00Z</dcterms:created>
  <dc:creator>hp</dc:creator>
  <cp:lastModifiedBy>ff8080816dcd9c74016dcdd760dd0133</cp:lastModifiedBy>
  <dcterms:modified xsi:type="dcterms:W3CDTF">2022-02-21T07:38:02Z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28A201C88DFC479684D0679D68EA4A06</vt:lpwstr>
  </property>
</Properties>
</file>