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beforeLines="0" w:afterLines="0" w:line="240" w:lineRule="auto"/>
        <w:ind w:left="0" w:leftChars="0" w:firstLine="0" w:firstLineChars="0"/>
        <w:jc w:val="left"/>
        <w:textAlignment w:val="center"/>
        <w:rPr>
          <w:rStyle w:val="8"/>
          <w:rFonts w:ascii="黑体" w:hAnsi="黑体" w:eastAsia="黑体" w:cs="黑体"/>
          <w:b w:val="0"/>
          <w:bCs w:val="0"/>
          <w:color w:val="000000"/>
          <w:sz w:val="32"/>
          <w:szCs w:val="32"/>
        </w:rPr>
      </w:pPr>
      <w:r>
        <w:rPr>
          <w:rStyle w:val="8"/>
          <w:rFonts w:ascii="黑体" w:hAnsi="黑体" w:eastAsia="黑体" w:cs="黑体"/>
          <w:b w:val="0"/>
          <w:bCs w:val="0"/>
          <w:color w:val="000000"/>
          <w:sz w:val="32"/>
          <w:szCs w:val="32"/>
        </w:rPr>
        <w:t>附件2</w:t>
      </w:r>
    </w:p>
    <w:p>
      <w:pPr>
        <w:snapToGrid w:val="0"/>
        <w:spacing w:beforeLines="0" w:afterLines="0"/>
        <w:jc w:val="center"/>
        <w:textAlignment w:val="center"/>
        <w:rPr>
          <w:rStyle w:val="8"/>
          <w:b w:val="0"/>
          <w:bCs w:val="0"/>
          <w:sz w:val="18"/>
          <w:szCs w:val="21"/>
        </w:rPr>
      </w:pPr>
      <w:r>
        <w:rPr>
          <w:rStyle w:val="8"/>
          <w:rFonts w:hint="eastAsia" w:ascii="方正小标宋简体" w:hAnsi="方正小标宋简体" w:eastAsia="方正小标宋简体" w:cs="方正小标宋简体"/>
          <w:b w:val="0"/>
          <w:bCs w:val="0"/>
          <w:color w:val="000000"/>
          <w:kern w:val="0"/>
          <w:sz w:val="40"/>
          <w:szCs w:val="40"/>
        </w:rPr>
        <w:t>北京市社区老年健康服务规范化建设评</w:t>
      </w:r>
      <w:r>
        <w:rPr>
          <w:rStyle w:val="8"/>
          <w:rFonts w:hint="eastAsia" w:ascii="方正小标宋简体" w:hAnsi="方正小标宋简体" w:eastAsia="方正小标宋简体" w:cs="方正小标宋简体"/>
          <w:b w:val="0"/>
          <w:bCs w:val="0"/>
          <w:color w:val="000000"/>
          <w:kern w:val="0"/>
          <w:sz w:val="40"/>
          <w:szCs w:val="40"/>
          <w:lang w:eastAsia="zh-CN"/>
        </w:rPr>
        <w:t>价</w:t>
      </w:r>
      <w:r>
        <w:rPr>
          <w:rStyle w:val="8"/>
          <w:rFonts w:hint="eastAsia" w:ascii="方正小标宋简体" w:hAnsi="方正小标宋简体" w:eastAsia="方正小标宋简体" w:cs="方正小标宋简体"/>
          <w:b w:val="0"/>
          <w:bCs w:val="0"/>
          <w:color w:val="000000"/>
          <w:kern w:val="0"/>
          <w:sz w:val="40"/>
          <w:szCs w:val="40"/>
        </w:rPr>
        <w:t>标准</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50"/>
        <w:gridCol w:w="1191"/>
        <w:gridCol w:w="1281"/>
        <w:gridCol w:w="4639"/>
        <w:gridCol w:w="5133"/>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blHeader/>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ascii="黑体" w:eastAsia="黑体" w:cs="黑体"/>
                <w:b w:val="0"/>
                <w:bCs w:val="0"/>
                <w:color w:val="000000"/>
                <w:sz w:val="24"/>
                <w:szCs w:val="24"/>
              </w:rPr>
            </w:pPr>
            <w:r>
              <w:rPr>
                <w:rStyle w:val="8"/>
                <w:rFonts w:ascii="黑体" w:eastAsia="黑体" w:cs="黑体"/>
                <w:b w:val="0"/>
                <w:bCs w:val="0"/>
                <w:color w:val="000000"/>
                <w:kern w:val="0"/>
                <w:sz w:val="24"/>
                <w:szCs w:val="24"/>
              </w:rPr>
              <w:t>一级指标</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ascii="黑体" w:eastAsia="黑体" w:cs="黑体"/>
                <w:b w:val="0"/>
                <w:bCs w:val="0"/>
                <w:color w:val="000000"/>
                <w:sz w:val="24"/>
                <w:szCs w:val="24"/>
              </w:rPr>
            </w:pPr>
            <w:r>
              <w:rPr>
                <w:rStyle w:val="8"/>
                <w:rFonts w:ascii="黑体" w:eastAsia="黑体" w:cs="黑体"/>
                <w:b w:val="0"/>
                <w:bCs w:val="0"/>
                <w:color w:val="000000"/>
                <w:kern w:val="0"/>
                <w:sz w:val="24"/>
                <w:szCs w:val="24"/>
              </w:rPr>
              <w:t>二级指标</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ascii="黑体" w:eastAsia="黑体" w:cs="黑体"/>
                <w:b w:val="0"/>
                <w:bCs w:val="0"/>
                <w:color w:val="000000"/>
                <w:sz w:val="24"/>
                <w:szCs w:val="24"/>
              </w:rPr>
            </w:pPr>
            <w:r>
              <w:rPr>
                <w:rStyle w:val="8"/>
                <w:rFonts w:ascii="黑体" w:eastAsia="黑体" w:cs="黑体"/>
                <w:b w:val="0"/>
                <w:bCs w:val="0"/>
                <w:color w:val="000000"/>
                <w:kern w:val="0"/>
                <w:sz w:val="24"/>
                <w:szCs w:val="24"/>
              </w:rPr>
              <w:t>三级指标</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ascii="黑体" w:eastAsia="黑体" w:cs="黑体"/>
                <w:b w:val="0"/>
                <w:bCs w:val="0"/>
                <w:color w:val="000000"/>
                <w:sz w:val="24"/>
                <w:szCs w:val="24"/>
              </w:rPr>
            </w:pPr>
            <w:r>
              <w:rPr>
                <w:rStyle w:val="8"/>
                <w:rFonts w:ascii="黑体" w:eastAsia="黑体" w:cs="黑体"/>
                <w:b w:val="0"/>
                <w:bCs w:val="0"/>
                <w:color w:val="000000"/>
                <w:kern w:val="0"/>
                <w:sz w:val="24"/>
                <w:szCs w:val="24"/>
              </w:rPr>
              <w:t>评分标准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ascii="黑体" w:eastAsia="黑体" w:cs="黑体"/>
                <w:b w:val="0"/>
                <w:bCs w:val="0"/>
                <w:color w:val="000000"/>
                <w:sz w:val="24"/>
                <w:szCs w:val="24"/>
              </w:rPr>
            </w:pPr>
            <w:r>
              <w:rPr>
                <w:rStyle w:val="8"/>
                <w:rFonts w:ascii="黑体" w:eastAsia="黑体" w:cs="黑体"/>
                <w:b w:val="0"/>
                <w:bCs w:val="0"/>
                <w:color w:val="000000"/>
                <w:kern w:val="0"/>
                <w:sz w:val="24"/>
                <w:szCs w:val="24"/>
              </w:rPr>
              <w:t>评估方法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ascii="黑体" w:eastAsia="黑体" w:cs="黑体"/>
                <w:b w:val="0"/>
                <w:bCs w:val="0"/>
                <w:color w:val="000000"/>
                <w:sz w:val="24"/>
                <w:szCs w:val="24"/>
              </w:rPr>
            </w:pPr>
            <w:r>
              <w:rPr>
                <w:rStyle w:val="8"/>
                <w:rFonts w:ascii="黑体" w:eastAsia="黑体" w:cs="黑体"/>
                <w:b w:val="0"/>
                <w:bCs w:val="0"/>
                <w:color w:val="000000"/>
                <w:kern w:val="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1250" w:type="dxa"/>
            <w:vMerge w:val="restart"/>
            <w:tcBorders>
              <w:top w:val="single" w:color="000000" w:sz="4" w:space="0"/>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1.组织管理（30分）</w:t>
            </w: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1.1制度管理（6分）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1.1.1组织管理</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有明确老年健康服务的功能定位、宗旨愿景、老年健康服务理念，建立老年服务的组织机构，专人专责</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现场查阅机构老年人健康管理组织机构资料，包括负责人及分工</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6"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1.1.2制度建设并归档</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具备完善的行政、投入、支持、保障、流程等制度，并将所有资料归档</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现场查阅相关制度，有行政管理制度，资金投入制度、支持老年人健康管理的各相关科室的支持和保障制度，有相关工作流程，查阅所有资料的归档管理情况</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1.1.3资质合规</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执照范围加注巡诊和家庭病床、安宁疗护等老年健康服务内容</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现场查阅机构执业范围证书。执业复核注册内容</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卫生专业人员具备相应的执业证书，具有与岗位匹配的知识和工作技能。</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现场查阅提供老年人健康管理的医护防人员的执业资格证书</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1.1.4优先服务</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建立优先服务管理制度，优先为三失（失独、失能、失智）、一独（独居）、一重（重病）老年人开展个性化服务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查阅制度并在各窗口查看是否有优先标识。观察诊室等处是否对相关人员提供优先服务，也可现场提问</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1.2保障支持（7分）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1.2.1服务经费</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扩大资金投入渠道以机构老年健康服务建设和服务提供。</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查阅机构有关老年人服务资金拨付、收入、支出、建设、设备配备、人才培养等凭证</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1.2.2无障碍和适老改造</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防跌倒的环境和适老化设备设施改造，营造老年健康关爱文化与环境建设。</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现场观察适老设备、防跌倒环境及老年健康关爱环境设施等，</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1.2.3科室建设</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预防、门急诊、康复、护理、病房等科室设置合理、完善，具有针对老年人的相对独立空间，配备相关设备</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在诊疗、预防保健、康复护理、病房等科室查看是否有针对老年人服务的空间、是否有相关的医疗设备和服务设施。</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1.2.4绿色通道</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具备老年人预约、挂号就医的绿色通道</w:t>
            </w:r>
          </w:p>
        </w:tc>
        <w:tc>
          <w:tcPr>
            <w:tcW w:w="5133"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在挂号室或计算机室现场查看是否能为老年人提供人工服务窗口，提供预约挂号，在诊疗区域观察是否能提供就医绿色通道。</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各科室具有老年人就医、转诊绿色通道</w:t>
            </w:r>
          </w:p>
        </w:tc>
        <w:tc>
          <w:tcPr>
            <w:tcW w:w="513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1.2.5延伸服务设施设备配置</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为家庭病床、巡诊等上门服务，引入适合老年智能化健康服务设备。</w:t>
            </w:r>
          </w:p>
        </w:tc>
        <w:tc>
          <w:tcPr>
            <w:tcW w:w="5133"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通过信息系统或是机构APP等查阅为老年人提供的诊疗服务</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完善互联网/物联网等系统平台以提供远程诊疗、咨询服务。</w:t>
            </w:r>
          </w:p>
        </w:tc>
        <w:tc>
          <w:tcPr>
            <w:tcW w:w="513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1.3队伍建设（7分）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1.3.1管理人员队伍</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机构内老年健康管理的中高层干部定期开展/参加培训，具有培训记录</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现场查阅培训记录资料。</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1"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1.3.2专业服务团队</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具有健康教育、疾病预防、养生保健、心理咨询、医疗救治和康复护理等全科、专科医疗、护理骨干队伍的培养计划，定期开展培训，提升服务能力。</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现场查阅对专业团队人员进行的培训，有培养计划、培训过程资料完整</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1.3.3社会资源</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吸纳并管理家庭保健员、社工、志愿者等社会资源开展老年健康服务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现场查阅参与本机构老年健康服务的其他社会人员的相关资料、姓名、家庭住址、从事职业、提供服务情况等。</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1.4信息化（5分）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1.4.1系统化管理</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能够利用信息系统平台进行健康档案、健康评估、服务流程监管、质量控制与评价</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查阅机构信息系统，看机构提供的相关服务</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1.4.2智慧医疗服务</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利用互联网+健康服务、物联网+健康管理、智慧家医等信息化服务手段，对个人或群体的健康状况数据进行分析、评估分类、给予健康指导及专项服务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通过机构信息系统或APP，查阅该机构提供的个体和群体的健康状况分析、评估等相关内容</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250"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r>
              <w:rPr>
                <w:rStyle w:val="8"/>
                <w:rFonts w:cs="宋体"/>
                <w:b w:val="0"/>
                <w:bCs w:val="0"/>
                <w:color w:val="000000"/>
                <w:sz w:val="22"/>
                <w:szCs w:val="22"/>
              </w:rPr>
              <w:t>1.5老年友善（5分）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sz w:val="22"/>
                <w:szCs w:val="22"/>
              </w:rPr>
              <w:t>达到社区老年友善医疗机构标准</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对照老年友善医疗机构评价标准查看现场情况</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jc w:val="center"/>
        </w:trPr>
        <w:tc>
          <w:tcPr>
            <w:tcW w:w="1250" w:type="dxa"/>
            <w:vMerge w:val="restart"/>
            <w:tcBorders>
              <w:top w:val="single" w:color="000000" w:sz="4" w:space="0"/>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2.服务提供（65分）</w:t>
            </w: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sz w:val="22"/>
                <w:szCs w:val="22"/>
              </w:rPr>
              <w:t>2.1健康教育（7分）</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sz w:val="22"/>
                <w:szCs w:val="22"/>
              </w:rPr>
              <w:t>2.1.1健康宣教</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sz w:val="22"/>
                <w:szCs w:val="22"/>
              </w:rPr>
              <w:t>为老年人及其照护者发放健康教育印刷资料，每年提供不少于</w:t>
            </w:r>
            <w:r>
              <w:rPr>
                <w:rStyle w:val="8"/>
                <w:rFonts w:hint="eastAsia" w:cs="宋体"/>
                <w:b w:val="0"/>
                <w:bCs w:val="0"/>
                <w:color w:val="000000"/>
                <w:sz w:val="22"/>
                <w:szCs w:val="22"/>
                <w:lang w:val="en-US" w:eastAsia="zh-CN"/>
              </w:rPr>
              <w:t>3</w:t>
            </w:r>
            <w:r>
              <w:rPr>
                <w:rStyle w:val="8"/>
                <w:rFonts w:cs="宋体"/>
                <w:b w:val="0"/>
                <w:bCs w:val="0"/>
                <w:color w:val="000000"/>
                <w:sz w:val="22"/>
                <w:szCs w:val="22"/>
              </w:rPr>
              <w:t>种内容的印刷资料。</w:t>
            </w:r>
          </w:p>
        </w:tc>
        <w:tc>
          <w:tcPr>
            <w:tcW w:w="5133"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sz w:val="22"/>
                <w:szCs w:val="22"/>
              </w:rPr>
              <w:t>查看机构健康教育开展情况的资料</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highlight w:val="green"/>
              </w:rPr>
            </w:pPr>
          </w:p>
        </w:tc>
        <w:tc>
          <w:tcPr>
            <w:tcW w:w="1281" w:type="dxa"/>
            <w:vMerge w:val="continue"/>
            <w:tcBorders>
              <w:left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sz w:val="22"/>
                <w:szCs w:val="22"/>
              </w:rPr>
              <w:t>播放老年人主题健康教育音像资料，每年不少于3种。</w:t>
            </w:r>
          </w:p>
        </w:tc>
        <w:tc>
          <w:tcPr>
            <w:tcW w:w="5133" w:type="dxa"/>
            <w:vMerge w:val="continue"/>
            <w:tcBorders>
              <w:left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highlight w:val="green"/>
              </w:rPr>
            </w:pPr>
          </w:p>
        </w:tc>
        <w:tc>
          <w:tcPr>
            <w:tcW w:w="1281"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sz w:val="22"/>
                <w:szCs w:val="22"/>
              </w:rPr>
              <w:t>为老年人举办健康教育讲座每季度1次，其中中医药内容不少于2次；举办老年健康咨询活动，全年不少于4场。</w:t>
            </w:r>
          </w:p>
        </w:tc>
        <w:tc>
          <w:tcPr>
            <w:tcW w:w="5133"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2.1.2健康指导</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向社区老年服务机构提供老年人医疗健康和康复护理宣教及指导</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抽查机构老年人健康档案，看机构提供的相关服务</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通过上门巡诊和家庭病床等方式，开展健康教育服务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查阅机构提供的巡诊和家庭病床服务记录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textAlignment w:val="center"/>
              <w:rPr>
                <w:rStyle w:val="8"/>
                <w:rFonts w:cs="宋体"/>
                <w:b w:val="0"/>
                <w:bCs w:val="0"/>
                <w:color w:val="000000"/>
                <w:sz w:val="22"/>
                <w:szCs w:val="22"/>
              </w:rPr>
            </w:pPr>
            <w:r>
              <w:rPr>
                <w:rStyle w:val="8"/>
                <w:rFonts w:cs="宋体"/>
                <w:b w:val="0"/>
                <w:bCs w:val="0"/>
                <w:color w:val="000000"/>
                <w:kern w:val="0"/>
                <w:sz w:val="22"/>
                <w:szCs w:val="22"/>
              </w:rPr>
              <w:t>在流感、肺炎或新冠肺炎易发期间积极开展老年易感人群健康保护和教育工作</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查阅在预防传染病过程中对老年人的健康教育、投放药物等工作记录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sz w:val="22"/>
                <w:szCs w:val="22"/>
              </w:rPr>
              <w:t>2.2预防保健（20分）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2.2.1健康评估</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开展老年综合评估，对国家基本公共卫生提及的5种重点慢性病每年至少进行1次健康评估服务。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查阅机构开展各类老年评估汇总资料，抽查健康档案，核对评估记录。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highlight w:val="gree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2.2.2健康管理</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为老年人开展家庭医生签约服务，建立健康档案，提供健康管理服务（含中医药健康管理），管理率不低于71%。</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老年人健康管理人数/辖区内65岁及以上常住老年人总数×100%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3"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highlight w:val="gree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2.2.3中医药健康管理</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中医药健康管理率达标</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老年人中医健康管理人数/辖区内65岁及以上常住老年人总数×100%</w:t>
            </w:r>
          </w:p>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查阅机构65岁以上老年人健康档案，计算服务人数，抽取健康档案，查阅是否根据辨识结果提供5方面服务，必要时电话核实真实性</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highlight w:val="green"/>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2.2.4健康干预</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开展对失能、认知障碍进行早期预防</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查阅开展失能、失智等预防干预的资料。</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4"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highlight w:val="green"/>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textAlignment w:val="center"/>
              <w:rPr>
                <w:rStyle w:val="8"/>
                <w:rFonts w:cs="宋体"/>
                <w:b w:val="0"/>
                <w:bCs w:val="0"/>
                <w:color w:val="000000"/>
                <w:sz w:val="22"/>
                <w:szCs w:val="22"/>
              </w:rPr>
            </w:pPr>
            <w:r>
              <w:rPr>
                <w:rStyle w:val="8"/>
                <w:rFonts w:cs="宋体"/>
                <w:b w:val="0"/>
                <w:bCs w:val="0"/>
                <w:color w:val="000000"/>
                <w:kern w:val="0"/>
                <w:sz w:val="22"/>
                <w:szCs w:val="22"/>
              </w:rPr>
              <w:t>能对重点慢性病神经退行性疾病、营养和心理等多种健康情况进行评估发现的主要危险因素进行干预；对老年常见肿瘤危险因素进行早期干预。</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查阅对慢病和常见肿瘤的危险因素的评估和干预的资料，有相关人员的名单，评估表、干预记录等</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highlight w:val="gree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2.2.5疫苗服务</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提供流感疫苗和肺炎疫苗预防注射服务。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查阅上一年度老年人接种流感、肺炎或新冠疫苗记录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highlight w:val="green"/>
              </w:rPr>
            </w:pPr>
          </w:p>
        </w:tc>
        <w:tc>
          <w:tcPr>
            <w:tcW w:w="1281" w:type="dxa"/>
            <w:vMerge w:val="restart"/>
            <w:tcBorders>
              <w:top w:val="single" w:color="000000" w:sz="4" w:space="0"/>
              <w:left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2.2.6医养结合</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65岁及以上老年人医养结合服务率。</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查阅年内辖区内接受医养结合服务的65岁及以上老年人人数占辖区内老年人总数的比例。</w:t>
            </w:r>
          </w:p>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测算公式：65岁及以上老年人医养结合服务率=年内辖区内65岁及以上老年人中接受两次医养结合服务的人数/辖区内65岁及以上老年人总数×100%。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3"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65岁以上失能老年人健康服务率</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年内辖区内接受健康服务的失能老年人人数占辖区内接受健康评估的65岁以上失能老年人总数的比例。</w:t>
            </w:r>
          </w:p>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测算公式：失能老年人健康服务率=年内辖区内接受健康服务的失能老年人人数/辖区内接受健康评估的失能老年人人数×100%。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2.3疾病诊疗（17分）</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2.3.1疾病诊疗</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3次以上年就诊服务签约老年人数占比≥90%</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9"/>
              <w:snapToGrid w:val="0"/>
              <w:spacing w:before="0" w:beforeLines="0" w:beforeAutospacing="0" w:after="0" w:afterLines="0" w:afterAutospacing="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签约老人年就诊3次及以上人数=签约老人就诊3次及以上人数/签约老年人总数×100%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highlight w:val="green"/>
              </w:rPr>
            </w:pPr>
          </w:p>
        </w:tc>
        <w:tc>
          <w:tcPr>
            <w:tcW w:w="1281"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社区卫生机构开展适老诊治病种数，西医全科诊治病种数≥60种、中医全科诊疗病种数≥50种。</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pStyle w:val="9"/>
              <w:snapToGrid w:val="0"/>
              <w:spacing w:before="0" w:beforeLines="0" w:beforeAutospacing="0" w:after="0" w:afterLines="0" w:afterAutospacing="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查阅机构上一年度卫统报表，统计病种数量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8"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highlight w:val="gree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2.3.2慢病诊疗</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高血压、糖尿病、冠心病、脑卒中、慢性阻塞性肺病、骨关节病、消化系统疾病和失眠等常见慢性病症提供诊疗服务。诊疗服务记录规范、完整（含中医药服务）。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Style w:val="8"/>
                <w:rFonts w:cs="宋体"/>
                <w:b w:val="0"/>
                <w:bCs w:val="0"/>
                <w:color w:val="000000"/>
                <w:kern w:val="0"/>
                <w:sz w:val="22"/>
                <w:szCs w:val="22"/>
              </w:rPr>
            </w:pPr>
            <w:r>
              <w:rPr>
                <w:rStyle w:val="8"/>
                <w:rFonts w:cs="宋体"/>
                <w:b w:val="0"/>
                <w:bCs w:val="0"/>
                <w:color w:val="000000"/>
                <w:kern w:val="0"/>
                <w:sz w:val="22"/>
                <w:szCs w:val="22"/>
              </w:rPr>
              <w:t>规范诊疗率=抽查诊疗服务记录规范、完整数/抽查记录总数×100%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highlight w:val="gree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2.3.3中医药诊疗服务</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通过体质辨识仪、中药颗粒配方等智能化设备开展中医药健康服务记录。</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Style w:val="8"/>
                <w:rFonts w:cs="宋体"/>
                <w:b w:val="0"/>
                <w:bCs w:val="0"/>
                <w:color w:val="000000"/>
                <w:kern w:val="0"/>
                <w:sz w:val="22"/>
                <w:szCs w:val="22"/>
              </w:rPr>
            </w:pPr>
            <w:r>
              <w:rPr>
                <w:rStyle w:val="8"/>
                <w:rFonts w:cs="宋体"/>
                <w:b w:val="0"/>
                <w:bCs w:val="0"/>
                <w:color w:val="000000"/>
                <w:kern w:val="0"/>
                <w:sz w:val="22"/>
                <w:szCs w:val="22"/>
              </w:rPr>
              <w:t>现场查看相关设备和服务记录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highlight w:val="gree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2.3.4智能助老诊疗服务</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机构内有人工为老年人提供智能化助老如健康小屋、挂号、打印化验单、缴费等服务。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现场查看相关设备和服务记录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highlight w:val="green"/>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2.3.5院前急救</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院前急救成功率。组织开展针对老年人的院前急救培训，每年至少1次。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Style w:val="8"/>
                <w:rFonts w:cs="宋体"/>
                <w:b w:val="0"/>
                <w:bCs w:val="0"/>
                <w:color w:val="000000"/>
                <w:kern w:val="0"/>
                <w:sz w:val="22"/>
                <w:szCs w:val="22"/>
              </w:rPr>
            </w:pPr>
            <w:r>
              <w:rPr>
                <w:rStyle w:val="8"/>
                <w:rFonts w:cs="宋体"/>
                <w:b w:val="0"/>
                <w:bCs w:val="0"/>
                <w:color w:val="000000"/>
                <w:kern w:val="0"/>
                <w:sz w:val="22"/>
                <w:szCs w:val="22"/>
              </w:rPr>
              <w:t>院前急救成功数量/院前急救总数×100%。</w:t>
            </w:r>
          </w:p>
          <w:p>
            <w:pPr>
              <w:snapToGrid w:val="0"/>
              <w:spacing w:beforeLines="0" w:afterLines="0"/>
              <w:rPr>
                <w:rStyle w:val="8"/>
                <w:rFonts w:cs="宋体"/>
                <w:b w:val="0"/>
                <w:bCs w:val="0"/>
                <w:color w:val="000000"/>
                <w:kern w:val="0"/>
                <w:sz w:val="22"/>
                <w:szCs w:val="22"/>
              </w:rPr>
            </w:pPr>
            <w:r>
              <w:rPr>
                <w:rStyle w:val="8"/>
                <w:rFonts w:cs="宋体"/>
                <w:b w:val="0"/>
                <w:bCs w:val="0"/>
                <w:color w:val="000000"/>
                <w:kern w:val="0"/>
                <w:sz w:val="22"/>
                <w:szCs w:val="22"/>
              </w:rPr>
              <w:t>现场查看培训资料</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2.4康复护理（8分）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2.4.1康复医疗</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能够提供康复医疗服务，康复服务技术符合康复（中医药）诊疗规范。</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查阅机构提供康复医疗服务的工作记录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2.4.2康复护理</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能够提供康复护理服务，康复护理工作流程及记录科学、规范、完整。</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查阅机构提供康复护理服务的工作记录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jc w:val="center"/>
        </w:trPr>
        <w:tc>
          <w:tcPr>
            <w:tcW w:w="1250" w:type="dxa"/>
            <w:vMerge w:val="continue"/>
            <w:tcBorders>
              <w:left w:val="single" w:color="000000" w:sz="4" w:space="0"/>
              <w:bottom w:val="nil"/>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2.5长期照护（6分）</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2.5.1照护服务</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为辖区内有需要的老年人提供照护服务，制定年内长期照护计划</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现场查阅机构为老年人提供的照护服务计划。</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highlight w:val="green"/>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实施的操作技术和服务项目的种类，能开展包括管道护理、创面护理、口腔护理、精神护理、排异护理、基础护理和康复护理等项目</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现场查阅机构开展的相关护理项目，且与执业范围相符，提供服务的相关记录。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50" w:type="dxa"/>
            <w:vMerge w:val="continue"/>
            <w:tcBorders>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highlight w:val="green"/>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能延伸到居家或养老机构提供长护服务及指导服务。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kern w:val="0"/>
                <w:sz w:val="22"/>
                <w:szCs w:val="22"/>
              </w:rPr>
              <w:t>现场查阅机构延伸到家庭或养老机构开展的服务及指导记录。</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sz w:val="22"/>
                <w:szCs w:val="22"/>
              </w:rPr>
            </w:pPr>
            <w:r>
              <w:rPr>
                <w:rStyle w:val="8"/>
                <w:rFonts w:cs="宋体"/>
                <w:b w:val="0"/>
                <w:bCs w:val="0"/>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 w:hRule="atLeast"/>
          <w:jc w:val="center"/>
        </w:trPr>
        <w:tc>
          <w:tcPr>
            <w:tcW w:w="1250" w:type="dxa"/>
            <w:vMerge w:val="continue"/>
            <w:tcBorders>
              <w:left w:val="single" w:color="000000" w:sz="4" w:space="0"/>
              <w:right w:val="single" w:color="000000" w:sz="4" w:space="0"/>
            </w:tcBorders>
            <w:noWrap w:val="0"/>
            <w:vAlign w:val="center"/>
          </w:tcPr>
          <w:p>
            <w:pPr>
              <w:pStyle w:val="10"/>
              <w:snapToGrid w:val="0"/>
              <w:spacing w:beforeLines="0" w:afterLines="0"/>
              <w:ind w:firstLineChars="0"/>
              <w:rPr>
                <w:rStyle w:val="8"/>
                <w:rFonts w:ascii="Times New Roman" w:hAnsi="Times New Roman"/>
                <w:b w:val="0"/>
                <w:bCs w:val="0"/>
                <w:sz w:val="21"/>
                <w:szCs w:val="24"/>
              </w:rPr>
            </w:pPr>
          </w:p>
        </w:tc>
        <w:tc>
          <w:tcPr>
            <w:tcW w:w="1191" w:type="dxa"/>
            <w:vMerge w:val="restart"/>
            <w:tcBorders>
              <w:top w:val="single" w:color="000000" w:sz="4" w:space="0"/>
              <w:left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r>
              <w:rPr>
                <w:rStyle w:val="8"/>
                <w:rFonts w:cs="宋体"/>
                <w:b w:val="0"/>
                <w:bCs w:val="0"/>
                <w:color w:val="000000"/>
                <w:kern w:val="0"/>
                <w:sz w:val="22"/>
                <w:szCs w:val="22"/>
              </w:rPr>
              <w:t>2.6安宁疗护（2分）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sz w:val="22"/>
                <w:szCs w:val="22"/>
              </w:rPr>
            </w:pPr>
            <w:r>
              <w:rPr>
                <w:rStyle w:val="8"/>
                <w:rFonts w:cs="宋体"/>
                <w:b w:val="0"/>
                <w:bCs w:val="0"/>
                <w:color w:val="000000"/>
                <w:kern w:val="0"/>
                <w:sz w:val="22"/>
                <w:szCs w:val="22"/>
              </w:rPr>
              <w:t>2.6.1服务流程</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规范评估、诊疗率</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现场查阅服务记录资料，</w:t>
            </w:r>
            <w:r>
              <w:rPr>
                <w:rStyle w:val="8"/>
                <w:rFonts w:cs="宋体"/>
                <w:b w:val="0"/>
                <w:bCs w:val="0"/>
                <w:color w:val="000000"/>
                <w:sz w:val="22"/>
                <w:szCs w:val="22"/>
              </w:rPr>
              <w:t>签署知情同意书，各类评估记录完善。</w:t>
            </w:r>
            <w:r>
              <w:rPr>
                <w:rStyle w:val="8"/>
                <w:rFonts w:cs="宋体"/>
                <w:b w:val="0"/>
                <w:bCs w:val="0"/>
                <w:color w:val="000000"/>
                <w:kern w:val="0"/>
                <w:sz w:val="22"/>
                <w:szCs w:val="22"/>
              </w:rPr>
              <w:t>规范评估诊疗率=抽查评估诊疗记录规范数/抽查评估诊疗总数×100%。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9" w:hRule="atLeast"/>
          <w:jc w:val="center"/>
        </w:trPr>
        <w:tc>
          <w:tcPr>
            <w:tcW w:w="1250"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191" w:type="dxa"/>
            <w:vMerge w:val="continue"/>
            <w:tcBorders>
              <w:left w:val="single" w:color="000000" w:sz="4" w:space="0"/>
              <w:bottom w:val="single" w:color="000000" w:sz="4" w:space="0"/>
              <w:right w:val="single" w:color="000000" w:sz="4" w:space="0"/>
            </w:tcBorders>
            <w:noWrap w:val="0"/>
            <w:vAlign w:val="center"/>
          </w:tcPr>
          <w:p>
            <w:pPr>
              <w:snapToGrid w:val="0"/>
              <w:spacing w:beforeLines="0" w:afterLines="0"/>
              <w:jc w:val="center"/>
              <w:rPr>
                <w:rStyle w:val="8"/>
                <w:rFonts w:cs="宋体"/>
                <w:b w:val="0"/>
                <w:bCs w:val="0"/>
                <w:color w:val="000000"/>
                <w:sz w:val="22"/>
                <w:szCs w:val="22"/>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rPr>
                <w:rStyle w:val="8"/>
                <w:rFonts w:cs="宋体"/>
                <w:b w:val="0"/>
                <w:bCs w:val="0"/>
                <w:color w:val="000000"/>
                <w:kern w:val="0"/>
                <w:sz w:val="22"/>
                <w:szCs w:val="22"/>
              </w:rPr>
            </w:pPr>
            <w:r>
              <w:rPr>
                <w:rStyle w:val="8"/>
                <w:rFonts w:cs="宋体"/>
                <w:b w:val="0"/>
                <w:bCs w:val="0"/>
                <w:color w:val="000000"/>
                <w:kern w:val="0"/>
                <w:sz w:val="22"/>
                <w:szCs w:val="22"/>
              </w:rPr>
              <w:t>2.6.2服务内容</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能开展症状控制、舒适照护、人文关怀、转诊服务</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kern w:val="0"/>
                <w:sz w:val="22"/>
                <w:szCs w:val="22"/>
              </w:rPr>
            </w:pPr>
            <w:r>
              <w:rPr>
                <w:rStyle w:val="8"/>
                <w:rFonts w:cs="宋体"/>
                <w:b w:val="0"/>
                <w:bCs w:val="0"/>
                <w:color w:val="000000"/>
                <w:kern w:val="0"/>
                <w:sz w:val="22"/>
                <w:szCs w:val="22"/>
              </w:rPr>
              <w:t>查阅机构关于服务内容的相关资料，如健康档案、诊疗记录、护理病历、各种协议、工作照片、家庭会议记录、心理咨询量表等，评估、诊疗用药是否规范等。</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1" w:hRule="atLeast"/>
          <w:jc w:val="center"/>
        </w:trPr>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3.效果指标（10分）</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3.1居民满意度（6分）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3.1.1接受服务的居民、患者满意度</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接受过老年健康服务的老年患者或家属满意度，包括门急诊、住院、家庭病床、居家照护、居家安宁医疗等满意度</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现场对接受服务的老年人进行满意度调查</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p>
        </w:tc>
        <w:tc>
          <w:tcPr>
            <w:tcW w:w="119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3.2社会满意度（4分）</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3.2.1社会满意度</w:t>
            </w:r>
          </w:p>
        </w:tc>
        <w:tc>
          <w:tcPr>
            <w:tcW w:w="463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街乡办事处、村（居）委会、辖区老年服务机构对社区卫生服务中心给予的满意度评价</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left"/>
              <w:textAlignment w:val="center"/>
              <w:rPr>
                <w:rStyle w:val="8"/>
                <w:rFonts w:cs="宋体"/>
                <w:b w:val="0"/>
                <w:bCs w:val="0"/>
                <w:color w:val="000000"/>
                <w:sz w:val="22"/>
                <w:szCs w:val="22"/>
              </w:rPr>
            </w:pPr>
            <w:r>
              <w:rPr>
                <w:rStyle w:val="8"/>
                <w:rFonts w:cs="宋体"/>
                <w:b w:val="0"/>
                <w:bCs w:val="0"/>
                <w:color w:val="000000"/>
                <w:sz w:val="22"/>
                <w:szCs w:val="22"/>
              </w:rPr>
              <w:t>现场对街乡办事处、村（居）委会、辖区老年服务机构进行满意度调查</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textAlignment w:val="center"/>
              <w:rPr>
                <w:rStyle w:val="8"/>
                <w:rFonts w:cs="宋体"/>
                <w:b w:val="0"/>
                <w:bCs w:val="0"/>
                <w:color w:val="000000"/>
                <w:kern w:val="0"/>
                <w:sz w:val="22"/>
                <w:szCs w:val="22"/>
              </w:rPr>
            </w:pPr>
            <w:r>
              <w:rPr>
                <w:rStyle w:val="8"/>
                <w:rFonts w:cs="宋体"/>
                <w:b w:val="0"/>
                <w:bCs w:val="0"/>
                <w:color w:val="000000"/>
                <w:kern w:val="0"/>
                <w:sz w:val="22"/>
                <w:szCs w:val="22"/>
              </w:rPr>
              <w:t>4</w:t>
            </w:r>
          </w:p>
        </w:tc>
      </w:tr>
    </w:tbl>
    <w:p>
      <w:pPr>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C1EE6"/>
    <w:rsid w:val="0A3C1EE6"/>
    <w:rsid w:val="104C56ED"/>
    <w:rsid w:val="18632F48"/>
    <w:rsid w:val="2E5B7FE6"/>
    <w:rsid w:val="2E653A2F"/>
    <w:rsid w:val="4E795496"/>
    <w:rsid w:val="558C7477"/>
    <w:rsid w:val="64F6621B"/>
    <w:rsid w:val="66B330A2"/>
    <w:rsid w:val="6B017003"/>
    <w:rsid w:val="6BAF7431"/>
    <w:rsid w:val="6DD52783"/>
    <w:rsid w:val="6DDE3A88"/>
    <w:rsid w:val="6ECE4A38"/>
    <w:rsid w:val="7C96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UserStyle_7"/>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character" w:customStyle="1" w:styleId="8">
    <w:name w:val="NormalCharacter"/>
    <w:uiPriority w:val="0"/>
    <w:rPr>
      <w:rFonts w:ascii="宋体" w:hAnsi="宋体"/>
      <w:sz w:val="32"/>
      <w:szCs w:val="32"/>
    </w:rPr>
  </w:style>
  <w:style w:type="paragraph" w:customStyle="1" w:styleId="9">
    <w:name w:val="HtmlNormal"/>
    <w:basedOn w:val="1"/>
    <w:uiPriority w:val="0"/>
    <w:pPr>
      <w:spacing w:before="100" w:beforeAutospacing="1" w:after="100" w:afterAutospacing="1"/>
    </w:pPr>
    <w:rPr>
      <w:sz w:val="24"/>
    </w:rPr>
  </w:style>
  <w:style w:type="paragraph" w:customStyle="1" w:styleId="10">
    <w:name w:val="NormalIndent"/>
    <w:basedOn w:val="1"/>
    <w:uiPriority w:val="0"/>
    <w:pPr>
      <w:ind w:firstLine="420" w:firstLineChars="200"/>
    </w:pPr>
  </w:style>
  <w:style w:type="paragraph" w:customStyle="1" w:styleId="11">
    <w:name w:val="页眉1"/>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12">
    <w:name w:val="页脚1"/>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2021-07-26T08:52:00Z</dcterms:created>
  <dc:creator>天宇宇宇宇宇宇宇</dc:creator>
  <cp:lastModifiedBy>天宇宇宇宇宇宇宇</cp:lastModifiedBy>
  <dcterms:modified xsi:type="dcterms:W3CDTF">2021-08-03T02:36:14Z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DF5D7F4F3CB74FE1BB945FD7159BA775</vt:lpwstr>
  </property>
</Properties>
</file>