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numPr>
          <w:ilvl w:val="0"/>
          <w:numId w:val="0"/>
        </w:numPr>
        <w:wordWrap/>
        <w:snapToGrid w:val="0"/>
        <w:spacing w:line="360" w:lineRule="auto"/>
        <w:ind w:right="0" w:rightChars="0"/>
        <w:jc w:val="both"/>
        <w:textAlignment w:val="baseline"/>
        <w:outlineLvl w:val="9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5"/>
        <w:widowControl/>
        <w:numPr>
          <w:ilvl w:val="0"/>
          <w:numId w:val="0"/>
        </w:numPr>
        <w:wordWrap/>
        <w:snapToGrid w:val="0"/>
        <w:spacing w:line="360" w:lineRule="auto"/>
        <w:ind w:right="0" w:rightChars="0"/>
        <w:jc w:val="center"/>
        <w:textAlignment w:val="baseline"/>
        <w:outlineLvl w:val="9"/>
        <w:rPr>
          <w:rFonts w:hint="eastAsia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卫生应急队伍模块化建设项目资金分配方案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4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21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421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21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市疾控中心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北京急救中心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朝阳医院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京大学第三医院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地坛医院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天坛医院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积水潭医院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安定医院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21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421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beforeLines="0" w:afterLines="0" w:line="360" w:lineRule="auto"/>
              <w:ind w:left="0" w:lef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4000</w:t>
            </w:r>
          </w:p>
        </w:tc>
      </w:tr>
    </w:tbl>
    <w:p>
      <w:pPr>
        <w:widowControl/>
        <w:wordWrap/>
        <w:adjustRightInd/>
        <w:snapToGrid w:val="0"/>
        <w:spacing w:before="157" w:beforeLines="50" w:line="360" w:lineRule="auto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 w:val="0"/>
        <w:spacing w:before="0" w:beforeLines="0" w:afterLines="0" w:line="240" w:lineRule="auto"/>
        <w:jc w:val="both"/>
        <w:textAlignment w:val="baseline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附件2 </w:t>
      </w:r>
    </w:p>
    <w:p>
      <w:pPr>
        <w:widowControl/>
        <w:wordWrap/>
        <w:adjustRightInd/>
        <w:snapToGrid w:val="0"/>
        <w:spacing w:before="0" w:beforeLines="0" w:afterLines="0" w:line="240" w:lineRule="auto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各模块应具备的工作能力目标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5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90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555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工作目标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290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市疾控中心</w:t>
            </w:r>
          </w:p>
        </w:tc>
        <w:tc>
          <w:tcPr>
            <w:tcW w:w="555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  <w:t>一次性运送队员投送能力达到80人，具备现场指挥和通讯能力，为不少于120名队员配备统一的服装，进行队伍统一标识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北京急救中心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outlineLvl w:val="9"/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  <w:t>满足120名应急队员连续10天生存和现场急救需求，为不少于120名队员配备统一的服装，进行队伍统一标识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  <w:jc w:val="center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朝阳医院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outlineLvl w:val="9"/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  <w:t>具备毒物化学分析能力，一次性批量样品检测，金属和类金属类毒物50-100件，有机类毒（药）物40件；具备化学中毒应急救治能力，重度中毒患者20-30名，中轻度中毒患者60-70名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北</w:t>
            </w:r>
            <w:r>
              <w:rPr>
                <w:rFonts w:hint="eastAsia"/>
                <w:sz w:val="32"/>
                <w:szCs w:val="32"/>
                <w:lang w:eastAsia="zh-CN"/>
              </w:rPr>
              <w:t>京大学第三医院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outlineLvl w:val="9"/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  <w:t>针对核与辐射损伤患者开展洗消和救治，确保医务人员及救治现场辐射安全，能够满足批量救治3例重度患者和30例轻中度患者的能力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  <w:jc w:val="center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地坛医院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outlineLvl w:val="9"/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  <w:t>作为区域性传染病救治中心，具备传染病应急信息传送及远程会诊能力，具备高水平的传染病诊断、救治能力，满足病原核酸检测2000例/日，普通病人200床，危重床位20床的诊疗救治能力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  <w:jc w:val="center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天坛医院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outlineLvl w:val="9"/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  <w:t>具备创伤急诊急救能力和快速转运能力，能够承担急危重症脑外伤等救治任务，建立床位应急调配机制，可救治创伤患者45人，应急救治期间可增加手术间3间，同时进行床位（含重症监护）调配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积水潭医院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outlineLvl w:val="9"/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  <w:t>具备批量烧伤患者救治能力，可同时接收100名以内的烧伤患者，其中特重患者最大接收能力10人，重度患者最大接收能力20人，中度烧伤患者最大接收能力50人，中轻度烧伤患者最大接收能力100名，可同时开展手术10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290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center"/>
              <w:textAlignment w:val="baseline"/>
              <w:outlineLvl w:val="9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安定医院</w:t>
            </w:r>
          </w:p>
        </w:tc>
        <w:tc>
          <w:tcPr>
            <w:tcW w:w="555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uto"/>
              <w:ind w:left="0" w:leftChars="0"/>
              <w:jc w:val="both"/>
              <w:textAlignment w:val="baseline"/>
              <w:outlineLvl w:val="9"/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Style w:val="19"/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  <w:t>具备独立开展心理救援的医疗和物资保障能力，配置心理专业仪器和软件，具备同时对200人/天进行心理危机干预的能力</w:t>
            </w:r>
          </w:p>
        </w:tc>
      </w:tr>
    </w:tbl>
    <w:p>
      <w:pPr>
        <w:ind w:right="600"/>
        <w:rPr>
          <w:rFonts w:hint="eastAsia" w:ascii="仿宋_GB2312" w:eastAsia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2DB9"/>
    <w:rsid w:val="0A313F59"/>
    <w:rsid w:val="12650EF1"/>
    <w:rsid w:val="1A5D2A3C"/>
    <w:rsid w:val="1DD13DB3"/>
    <w:rsid w:val="2EEA153C"/>
    <w:rsid w:val="3CCC268F"/>
    <w:rsid w:val="3E9448AC"/>
    <w:rsid w:val="47B260DC"/>
    <w:rsid w:val="53BE1A5F"/>
    <w:rsid w:val="55BB69F1"/>
    <w:rsid w:val="5E0972C7"/>
    <w:rsid w:val="5FE63595"/>
    <w:rsid w:val="73792C10"/>
    <w:rsid w:val="73B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Cambria" w:hAnsi="Cambria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4"/>
    <w:basedOn w:val="1"/>
    <w:next w:val="1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10">
    <w:name w:val="Default Paragraph Font"/>
    <w:link w:val="11"/>
    <w:semiHidden/>
    <w:qFormat/>
    <w:uiPriority w:val="0"/>
    <w:rPr>
      <w:rFonts w:ascii="宋体" w:hAnsi="宋体" w:cs="Courier New"/>
      <w:sz w:val="32"/>
      <w:szCs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8"/>
    <w:basedOn w:val="1"/>
    <w:link w:val="10"/>
    <w:uiPriority w:val="0"/>
    <w:rPr>
      <w:rFonts w:ascii="宋体" w:hAnsi="宋体" w:cs="Courier New"/>
      <w:sz w:val="32"/>
      <w:szCs w:val="32"/>
    </w:rPr>
  </w:style>
  <w:style w:type="paragraph" w:customStyle="1" w:styleId="12">
    <w:name w:val=" Char"/>
    <w:basedOn w:val="1"/>
    <w:link w:val="10"/>
    <w:qFormat/>
    <w:uiPriority w:val="0"/>
    <w:rPr>
      <w:rFonts w:ascii="宋体" w:hAnsi="宋体" w:cs="Courier New"/>
      <w:sz w:val="32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0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single"/>
    </w:rPr>
  </w:style>
  <w:style w:type="character" w:customStyle="1" w:styleId="15">
    <w:name w:val="font61"/>
    <w:basedOn w:val="10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6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default"/>
      <w:sz w:val="24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10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2021-06-04T09:01:00Z</dcterms:created>
  <dc:creator>wu'x's</dc:creator>
  <cp:lastModifiedBy>mongolian</cp:lastModifiedBy>
  <dcterms:modified xsi:type="dcterms:W3CDTF">2021-06-22T01:59:56Z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