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B2C32" w14:textId="77777777" w:rsidR="00843BC9" w:rsidRDefault="00843BC9" w:rsidP="00843BC9">
      <w:pPr>
        <w:adjustRightInd w:val="0"/>
        <w:snapToGrid w:val="0"/>
        <w:spacing w:line="360" w:lineRule="auto"/>
        <w:rPr>
          <w:rFonts w:ascii="仿宋_GB2312" w:eastAsia="仿宋_GB2312" w:hAnsi="仿宋_GB2312" w:cs="仿宋_GB2312"/>
          <w:bCs/>
          <w:sz w:val="32"/>
          <w:szCs w:val="32"/>
        </w:rPr>
      </w:pPr>
      <w:r>
        <w:rPr>
          <w:rFonts w:ascii="黑体" w:eastAsia="黑体" w:hAnsi="黑体" w:cs="黑体" w:hint="eastAsia"/>
          <w:bCs/>
          <w:sz w:val="32"/>
          <w:szCs w:val="32"/>
        </w:rPr>
        <w:t>附件</w:t>
      </w:r>
    </w:p>
    <w:p w14:paraId="19AB7892" w14:textId="77777777" w:rsidR="00843BC9" w:rsidRDefault="00843BC9" w:rsidP="00843BC9">
      <w:pPr>
        <w:adjustRightInd w:val="0"/>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首批纳入出生缺陷综合防治保障病种</w:t>
      </w:r>
    </w:p>
    <w:p w14:paraId="623D3CFF" w14:textId="77777777" w:rsidR="00843BC9" w:rsidRDefault="00843BC9" w:rsidP="00843BC9">
      <w:pPr>
        <w:adjustRightInd w:val="0"/>
        <w:snapToGrid w:val="0"/>
        <w:spacing w:line="360" w:lineRule="auto"/>
        <w:jc w:val="left"/>
        <w:rPr>
          <w:rFonts w:ascii="仿宋_GB2312" w:eastAsia="仿宋_GB2312" w:hAnsi="仿宋_GB2312" w:cs="仿宋_GB2312"/>
          <w:bCs/>
          <w:sz w:val="32"/>
          <w:szCs w:val="32"/>
        </w:rPr>
      </w:pPr>
    </w:p>
    <w:p w14:paraId="6259F92C"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首批纳入病种包括孕期有筛查手段的病种和新生儿期筛查病种两个大类。孕期有筛查手段的病种，以严重多发、可筛可治、费用可控作为总原则，考虑是否有明确的预防措施、实际引发</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患纠纷情况以及治疗效果情况等。新生儿期筛查病种以实施了早期筛查，目前没有救助措施且治疗费用较高的作为选择要求。现将首批纳入病种公布如下。</w:t>
      </w:r>
    </w:p>
    <w:p w14:paraId="30B8F476" w14:textId="77777777" w:rsidR="00843BC9" w:rsidRDefault="00843BC9" w:rsidP="00843BC9">
      <w:pPr>
        <w:adjustRightInd w:val="0"/>
        <w:snapToGrid w:val="0"/>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一、孕期实施筛查的出生缺陷</w:t>
      </w:r>
    </w:p>
    <w:p w14:paraId="428726C9"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（一）唐氏综合征；</w:t>
      </w:r>
    </w:p>
    <w:p w14:paraId="55E7D7A4"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（二）脊柱裂；</w:t>
      </w:r>
    </w:p>
    <w:p w14:paraId="3A489AA0"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（三）肢体短缩；</w:t>
      </w:r>
    </w:p>
    <w:p w14:paraId="0E60C31F"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（四）消化道畸形（含食道狭窄或闭锁、小肠狭窄或闭锁、肛门狭窄或闭锁）；</w:t>
      </w:r>
    </w:p>
    <w:p w14:paraId="312A2B51"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11种严重的先天性心脏病（含主动脉狭窄、右室双出口、完全性大动脉血管转位、主动脉弓离断、肺动脉闭锁、法洛四联症、完全性肺静脉异位引流、肺动脉狭窄、血管环、左冠状动脉异常起源和右肺动脉起源于主动脉）；</w:t>
      </w:r>
    </w:p>
    <w:p w14:paraId="39CC9EF7"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（六）病例数较多、治疗费用较低且效果好的出生缺陷（含</w:t>
      </w:r>
      <w:r>
        <w:rPr>
          <w:rFonts w:ascii="仿宋_GB2312" w:eastAsia="仿宋_GB2312" w:hAnsi="仿宋_GB2312" w:cs="仿宋_GB2312" w:hint="eastAsia"/>
          <w:bCs/>
          <w:sz w:val="32"/>
          <w:szCs w:val="32"/>
        </w:rPr>
        <w:lastRenderedPageBreak/>
        <w:t>唇裂、腭裂、唇腭裂、面裂、尿道下裂以及先天性肾积水）。</w:t>
      </w:r>
    </w:p>
    <w:p w14:paraId="79FB29B7" w14:textId="77777777" w:rsidR="00843BC9" w:rsidRDefault="00843BC9" w:rsidP="00843BC9">
      <w:pPr>
        <w:adjustRightInd w:val="0"/>
        <w:snapToGrid w:val="0"/>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二、新生儿期实施早期筛查的出生缺陷</w:t>
      </w:r>
    </w:p>
    <w:p w14:paraId="337C5654"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（一）BH4缺乏型先天性苯丙酮尿症（PKU）；</w:t>
      </w:r>
    </w:p>
    <w:p w14:paraId="4408B04E" w14:textId="77777777" w:rsidR="00843BC9" w:rsidRDefault="00843BC9" w:rsidP="00843BC9">
      <w:pPr>
        <w:adjustRightInd w:val="0"/>
        <w:snapToGrid w:val="0"/>
        <w:spacing w:line="360" w:lineRule="auto"/>
        <w:ind w:firstLineChars="200" w:firstLine="640"/>
        <w:rPr>
          <w:rFonts w:ascii="仿宋_GB2312" w:eastAsia="仿宋_GB2312" w:hAnsi="仿宋_GB2312" w:cs="仿宋_GB2312"/>
          <w:bCs/>
          <w:color w:val="3366FF"/>
          <w:sz w:val="32"/>
          <w:szCs w:val="32"/>
          <w:u w:val="single"/>
        </w:rPr>
      </w:pPr>
      <w:r>
        <w:rPr>
          <w:rFonts w:ascii="仿宋_GB2312" w:eastAsia="仿宋_GB2312" w:hAnsi="仿宋_GB2312" w:cs="仿宋_GB2312" w:hint="eastAsia"/>
          <w:bCs/>
          <w:sz w:val="32"/>
          <w:szCs w:val="32"/>
        </w:rPr>
        <w:t>（二）双侧传导性耳聋</w:t>
      </w:r>
      <w:proofErr w:type="gramStart"/>
      <w:r>
        <w:rPr>
          <w:rFonts w:ascii="仿宋_GB2312" w:eastAsia="仿宋_GB2312" w:hAnsi="仿宋_GB2312" w:cs="仿宋_GB2312" w:hint="eastAsia"/>
          <w:bCs/>
          <w:sz w:val="32"/>
          <w:szCs w:val="32"/>
        </w:rPr>
        <w:t>需要骨桥治疗者</w:t>
      </w:r>
      <w:proofErr w:type="gramEnd"/>
      <w:r>
        <w:rPr>
          <w:rFonts w:ascii="仿宋_GB2312" w:eastAsia="仿宋_GB2312" w:hAnsi="仿宋_GB2312" w:cs="仿宋_GB2312" w:hint="eastAsia"/>
          <w:bCs/>
          <w:sz w:val="32"/>
          <w:szCs w:val="32"/>
        </w:rPr>
        <w:t>。</w:t>
      </w:r>
    </w:p>
    <w:p w14:paraId="1C60675F"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396A627B"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4150E0A6"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56C72395"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30ACFED2"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77B88325"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7C8C1FDE"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26AF8A8D"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3763034A"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6C81ECF8"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4F6CE40C"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1F75873D"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7AD1F1B1"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63321EE4"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14D7F9F5"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3C9CD969"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684D6DD4"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7D7B524D"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7F115093"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564D1A4D"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66F6E266" w14:textId="77777777" w:rsidR="00843BC9" w:rsidRDefault="00843BC9" w:rsidP="00843BC9">
      <w:pPr>
        <w:adjustRightInd w:val="0"/>
        <w:snapToGrid w:val="0"/>
        <w:spacing w:line="360" w:lineRule="auto"/>
        <w:jc w:val="left"/>
        <w:rPr>
          <w:rFonts w:ascii="仿宋_GB2312" w:eastAsia="仿宋_GB2312" w:hAnsi="仿宋_GB2312" w:cs="仿宋_GB2312"/>
          <w:bCs/>
          <w:color w:val="3366FF"/>
          <w:sz w:val="32"/>
          <w:szCs w:val="32"/>
          <w:u w:val="single"/>
        </w:rPr>
      </w:pPr>
    </w:p>
    <w:p w14:paraId="28584882" w14:textId="77777777" w:rsidR="00843BC9" w:rsidRDefault="00843BC9" w:rsidP="00843BC9"/>
    <w:p w14:paraId="3CC8A6E4" w14:textId="77777777" w:rsidR="00811718" w:rsidRPr="00843BC9" w:rsidRDefault="00811718"/>
    <w:sectPr w:rsidR="00811718" w:rsidRPr="00843BC9">
      <w:footerReference w:type="even" r:id="rId6"/>
      <w:footerReference w:type="default" r:id="rId7"/>
      <w:pgSz w:w="11906" w:h="16838"/>
      <w:pgMar w:top="2098" w:right="1474" w:bottom="1984" w:left="1588" w:header="851" w:footer="153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A410A" w14:textId="77777777" w:rsidR="00C6421A" w:rsidRDefault="00C6421A" w:rsidP="00843BC9">
      <w:r>
        <w:separator/>
      </w:r>
    </w:p>
  </w:endnote>
  <w:endnote w:type="continuationSeparator" w:id="0">
    <w:p w14:paraId="4B6B8359" w14:textId="77777777" w:rsidR="00C6421A" w:rsidRDefault="00C6421A" w:rsidP="0084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27AD1" w14:textId="77777777" w:rsidR="00115738" w:rsidRDefault="00C6421A">
    <w:pPr>
      <w:pStyle w:val="a5"/>
      <w:framePr w:wrap="around" w:vAnchor="text" w:hAnchor="margin" w:xAlign="outside" w:y="1"/>
      <w:rPr>
        <w:rStyle w:val="a7"/>
      </w:rPr>
    </w:pPr>
    <w:r>
      <w:fldChar w:fldCharType="begin"/>
    </w:r>
    <w:r>
      <w:rPr>
        <w:rStyle w:val="a7"/>
      </w:rPr>
      <w:instrText xml:space="preserve">PAGE  </w:instrText>
    </w:r>
    <w:r>
      <w:fldChar w:fldCharType="end"/>
    </w:r>
  </w:p>
  <w:p w14:paraId="548E8ABA" w14:textId="77777777" w:rsidR="00115738" w:rsidRDefault="00C6421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08EDA" w14:textId="77777777" w:rsidR="00115738" w:rsidRDefault="00C6421A">
    <w:pPr>
      <w:pStyle w:val="a5"/>
      <w:framePr w:wrap="around" w:vAnchor="text" w:hAnchor="margin" w:xAlign="outside" w:y="1"/>
      <w:rPr>
        <w:rStyle w:val="a7"/>
        <w:rFonts w:ascii="宋体" w:hAnsi="宋体" w:cs="宋体"/>
        <w:sz w:val="28"/>
        <w:szCs w:val="28"/>
      </w:rPr>
    </w:pPr>
    <w:r>
      <w:rPr>
        <w:rFonts w:ascii="宋体" w:hAnsi="宋体" w:cs="宋体" w:hint="eastAsia"/>
        <w:sz w:val="28"/>
        <w:szCs w:val="28"/>
      </w:rPr>
      <w:fldChar w:fldCharType="begin"/>
    </w:r>
    <w:r>
      <w:rPr>
        <w:rStyle w:val="a7"/>
        <w:rFonts w:ascii="宋体" w:eastAsia="宋体" w:hAnsi="宋体" w:cs="宋体" w:hint="eastAsia"/>
        <w:sz w:val="28"/>
        <w:szCs w:val="28"/>
      </w:rPr>
      <w:instrText xml:space="preserve">PAGE  </w:instrText>
    </w:r>
    <w:r>
      <w:rPr>
        <w:rFonts w:ascii="宋体" w:hAnsi="宋体" w:cs="宋体" w:hint="eastAsia"/>
        <w:sz w:val="28"/>
        <w:szCs w:val="28"/>
      </w:rPr>
      <w:fldChar w:fldCharType="separate"/>
    </w:r>
    <w:r>
      <w:rPr>
        <w:rStyle w:val="a7"/>
        <w:rFonts w:ascii="宋体" w:eastAsia="宋体" w:hAnsi="宋体" w:cs="宋体" w:hint="eastAsia"/>
        <w:sz w:val="28"/>
        <w:szCs w:val="28"/>
      </w:rPr>
      <w:t>- 1 -</w:t>
    </w:r>
    <w:r>
      <w:rPr>
        <w:rFonts w:ascii="宋体" w:hAnsi="宋体" w:cs="宋体" w:hint="eastAsia"/>
        <w:sz w:val="28"/>
        <w:szCs w:val="28"/>
      </w:rPr>
      <w:fldChar w:fldCharType="end"/>
    </w:r>
  </w:p>
  <w:p w14:paraId="625503A8" w14:textId="77777777" w:rsidR="00115738" w:rsidRDefault="00C6421A">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E3944" w14:textId="77777777" w:rsidR="00C6421A" w:rsidRDefault="00C6421A" w:rsidP="00843BC9">
      <w:r>
        <w:separator/>
      </w:r>
    </w:p>
  </w:footnote>
  <w:footnote w:type="continuationSeparator" w:id="0">
    <w:p w14:paraId="441CD22A" w14:textId="77777777" w:rsidR="00C6421A" w:rsidRDefault="00C6421A" w:rsidP="00843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63"/>
    <w:rsid w:val="00811718"/>
    <w:rsid w:val="00843BC9"/>
    <w:rsid w:val="00B62C63"/>
    <w:rsid w:val="00C64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EE9938-4AED-4D39-BB19-0CF1F4E4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B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B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3BC9"/>
    <w:rPr>
      <w:sz w:val="18"/>
      <w:szCs w:val="18"/>
    </w:rPr>
  </w:style>
  <w:style w:type="paragraph" w:styleId="a5">
    <w:name w:val="footer"/>
    <w:basedOn w:val="a"/>
    <w:link w:val="a6"/>
    <w:unhideWhenUsed/>
    <w:rsid w:val="00843B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843BC9"/>
    <w:rPr>
      <w:sz w:val="18"/>
      <w:szCs w:val="18"/>
    </w:rPr>
  </w:style>
  <w:style w:type="character" w:styleId="a7">
    <w:name w:val="page number"/>
    <w:basedOn w:val="a0"/>
    <w:rsid w:val="0084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2020-04-28T03:04:00Z</dcterms:created>
  <dcterms:modified xsi:type="dcterms:W3CDTF">2020-04-28T03:05:00Z</dcterms:modified>
</cp:coreProperties>
</file>