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Lines="0" w:afterLines="0"/>
        <w:contextualSpacing/>
        <w:rPr>
          <w:rFonts w:eastAsia="方正仿宋_GBK"/>
          <w:bCs/>
          <w:kern w:val="0"/>
          <w:sz w:val="24"/>
          <w:szCs w:val="32"/>
        </w:rPr>
      </w:pPr>
      <w:r>
        <w:rPr>
          <w:rFonts w:hint="eastAsia" w:ascii="黑体" w:hAnsi="黑体" w:eastAsia="黑体" w:cs="黑体"/>
          <w:kern w:val="0"/>
          <w:sz w:val="32"/>
          <w:szCs w:val="32"/>
        </w:rPr>
        <w:t>附件3</w:t>
      </w:r>
    </w:p>
    <w:p>
      <w:pPr>
        <w:shd w:val="clear" w:color="auto" w:fill="FFFFFF"/>
        <w:snapToGrid w:val="0"/>
        <w:spacing w:beforeLines="0" w:afterLines="0"/>
        <w:contextualSpacing/>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高校内设医疗机构传染病防控督导检查表</w:t>
      </w:r>
      <w:bookmarkEnd w:id="0"/>
    </w:p>
    <w:p>
      <w:pPr>
        <w:snapToGrid w:val="0"/>
        <w:spacing w:beforeLines="0" w:afterLines="0"/>
        <w:contextualSpacing/>
        <w:rPr>
          <w:rFonts w:hint="eastAsia" w:ascii="宋体" w:hAnsi="宋体" w:cs="宋体"/>
          <w:sz w:val="28"/>
          <w:szCs w:val="28"/>
          <w:shd w:val="clear" w:color="auto" w:fill="FFFFFF"/>
        </w:rPr>
      </w:pPr>
      <w:r>
        <w:rPr>
          <w:rFonts w:hint="eastAsia" w:ascii="宋体" w:hAnsi="宋体" w:cs="宋体"/>
          <w:sz w:val="28"/>
          <w:szCs w:val="28"/>
          <w:shd w:val="clear" w:color="auto" w:fill="FFFFFF"/>
        </w:rPr>
        <w:t>医疗机构名称：</w:t>
      </w:r>
    </w:p>
    <w:tbl>
      <w:tblPr>
        <w:tblStyle w:val="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7"/>
        <w:gridCol w:w="1126"/>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67" w:type="dxa"/>
            <w:vAlign w:val="center"/>
          </w:tcPr>
          <w:p>
            <w:pPr>
              <w:snapToGrid w:val="0"/>
              <w:spacing w:beforeLines="0" w:afterLines="0" w:line="240" w:lineRule="auto"/>
              <w:jc w:val="center"/>
              <w:rPr>
                <w:b/>
                <w:szCs w:val="21"/>
              </w:rPr>
            </w:pPr>
            <w:r>
              <w:rPr>
                <w:rFonts w:hint="eastAsia"/>
                <w:b/>
                <w:szCs w:val="21"/>
              </w:rPr>
              <w:t>检查</w:t>
            </w:r>
            <w:r>
              <w:rPr>
                <w:b/>
                <w:szCs w:val="21"/>
              </w:rPr>
              <w:t>内容</w:t>
            </w:r>
          </w:p>
        </w:tc>
        <w:tc>
          <w:tcPr>
            <w:tcW w:w="1126" w:type="dxa"/>
            <w:vAlign w:val="center"/>
          </w:tcPr>
          <w:p>
            <w:pPr>
              <w:snapToGrid w:val="0"/>
              <w:spacing w:beforeLines="0" w:afterLines="0" w:line="240" w:lineRule="auto"/>
              <w:jc w:val="center"/>
              <w:rPr>
                <w:b/>
                <w:szCs w:val="21"/>
              </w:rPr>
            </w:pPr>
            <w:r>
              <w:rPr>
                <w:rFonts w:hint="eastAsia"/>
                <w:b/>
                <w:szCs w:val="21"/>
              </w:rPr>
              <w:t>检查</w:t>
            </w:r>
            <w:r>
              <w:rPr>
                <w:b/>
                <w:szCs w:val="21"/>
              </w:rPr>
              <w:t>结果</w:t>
            </w:r>
          </w:p>
        </w:tc>
        <w:tc>
          <w:tcPr>
            <w:tcW w:w="3094" w:type="dxa"/>
            <w:vAlign w:val="center"/>
          </w:tcPr>
          <w:p>
            <w:pPr>
              <w:snapToGrid w:val="0"/>
              <w:spacing w:beforeLines="0" w:afterLines="0" w:line="240" w:lineRule="auto"/>
              <w:jc w:val="center"/>
              <w:rPr>
                <w:b/>
                <w:szCs w:val="21"/>
              </w:rPr>
            </w:pPr>
            <w:r>
              <w:rPr>
                <w:rFonts w:hint="eastAsia"/>
                <w:b/>
                <w:szCs w:val="21"/>
              </w:rPr>
              <w:t>情况</w:t>
            </w: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7" w:type="dxa"/>
            <w:vAlign w:val="top"/>
          </w:tcPr>
          <w:p>
            <w:pPr>
              <w:snapToGrid w:val="0"/>
              <w:spacing w:beforeLines="0" w:afterLines="0" w:line="240" w:lineRule="auto"/>
              <w:rPr>
                <w:szCs w:val="21"/>
              </w:rPr>
            </w:pPr>
            <w:r>
              <w:rPr>
                <w:rFonts w:hint="eastAsia"/>
                <w:szCs w:val="21"/>
              </w:rPr>
              <w:t>1.对所有进入医院人员的体温进行监测</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67" w:type="dxa"/>
            <w:vAlign w:val="top"/>
          </w:tcPr>
          <w:p>
            <w:pPr>
              <w:snapToGrid w:val="0"/>
              <w:spacing w:beforeLines="0" w:afterLines="0" w:line="240" w:lineRule="auto"/>
              <w:rPr>
                <w:szCs w:val="21"/>
              </w:rPr>
            </w:pPr>
            <w:r>
              <w:rPr>
                <w:szCs w:val="21"/>
              </w:rPr>
              <w:t>2.</w:t>
            </w:r>
            <w:r>
              <w:rPr>
                <w:rFonts w:hint="eastAsia"/>
                <w:szCs w:val="21"/>
              </w:rPr>
              <w:t>医疗机构应设置预检分诊点。预检分诊点应设立在门诊醒目位置，标识明显、相对独立、通风良好、流程合理，具有消毒隔离条件。</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67" w:type="dxa"/>
            <w:vAlign w:val="top"/>
          </w:tcPr>
          <w:p>
            <w:pPr>
              <w:snapToGrid w:val="0"/>
              <w:spacing w:beforeLines="0" w:afterLines="0" w:line="240" w:lineRule="auto"/>
              <w:rPr>
                <w:szCs w:val="21"/>
              </w:rPr>
            </w:pPr>
            <w:r>
              <w:rPr>
                <w:szCs w:val="21"/>
              </w:rPr>
              <w:t>3</w:t>
            </w:r>
            <w:r>
              <w:rPr>
                <w:rFonts w:hint="eastAsia"/>
                <w:szCs w:val="21"/>
              </w:rPr>
              <w:t>.未设发热门诊的医疗机构，在明显位置设置发热病人就诊说明，提示发热患者去就近医疗机构发热门诊就诊。</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067" w:type="dxa"/>
            <w:vAlign w:val="top"/>
          </w:tcPr>
          <w:p>
            <w:pPr>
              <w:snapToGrid w:val="0"/>
              <w:spacing w:beforeLines="0" w:afterLines="0" w:line="240" w:lineRule="auto"/>
              <w:rPr>
                <w:szCs w:val="21"/>
              </w:rPr>
            </w:pPr>
            <w:r>
              <w:rPr>
                <w:szCs w:val="21"/>
              </w:rPr>
              <w:t>4</w:t>
            </w:r>
            <w:r>
              <w:rPr>
                <w:rFonts w:hint="eastAsia"/>
                <w:szCs w:val="21"/>
              </w:rPr>
              <w:t>.预检分诊点要备有发热病人用的口罩、体温表、手消毒液等物品。有预检分诊记录本，登记内容齐全（时间、病人姓名、性别、年龄、体温、流行病学史、联系电话等）</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67" w:type="dxa"/>
            <w:vAlign w:val="top"/>
          </w:tcPr>
          <w:p>
            <w:pPr>
              <w:snapToGrid w:val="0"/>
              <w:spacing w:beforeLines="0" w:afterLines="0" w:line="240" w:lineRule="auto"/>
              <w:rPr>
                <w:szCs w:val="21"/>
              </w:rPr>
            </w:pPr>
            <w:r>
              <w:rPr>
                <w:rFonts w:hint="eastAsia"/>
                <w:szCs w:val="21"/>
              </w:rPr>
              <w:t>5.发热门诊标识明确，相对独立。设置隔离观察室要标志明显。</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067" w:type="dxa"/>
            <w:vAlign w:val="top"/>
          </w:tcPr>
          <w:p>
            <w:pPr>
              <w:snapToGrid w:val="0"/>
              <w:spacing w:beforeLines="0" w:afterLines="0" w:line="240" w:lineRule="auto"/>
              <w:rPr>
                <w:szCs w:val="21"/>
              </w:rPr>
            </w:pPr>
            <w:r>
              <w:rPr>
                <w:szCs w:val="21"/>
              </w:rPr>
              <w:t>6</w:t>
            </w:r>
            <w:r>
              <w:rPr>
                <w:rFonts w:hint="eastAsia"/>
                <w:szCs w:val="21"/>
              </w:rPr>
              <w:t>.发热</w:t>
            </w:r>
            <w:r>
              <w:rPr>
                <w:szCs w:val="21"/>
              </w:rPr>
              <w:t>门诊</w:t>
            </w:r>
            <w:r>
              <w:rPr>
                <w:rFonts w:hint="eastAsia"/>
                <w:szCs w:val="21"/>
              </w:rPr>
              <w:t>进行发热患者排查，对疑似或确诊患者立即采取隔离措施并及时报告。</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067" w:type="dxa"/>
            <w:vAlign w:val="top"/>
          </w:tcPr>
          <w:p>
            <w:pPr>
              <w:snapToGrid w:val="0"/>
              <w:spacing w:beforeLines="0" w:afterLines="0" w:line="240" w:lineRule="auto"/>
              <w:rPr>
                <w:szCs w:val="21"/>
              </w:rPr>
            </w:pPr>
            <w:r>
              <w:rPr>
                <w:szCs w:val="21"/>
              </w:rPr>
              <w:t>7</w:t>
            </w:r>
            <w:r>
              <w:rPr>
                <w:rFonts w:hint="eastAsia"/>
                <w:szCs w:val="21"/>
              </w:rPr>
              <w:t>．建立传染病疫情报告制度、预检、分诊制度、消毒隔离制度、医疗废物处置等制度及应急预案。未瞒报、缓报和谎报传染病疫情。门诊日志、传染病疫情登记、报告卡填写符合要求。</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067" w:type="dxa"/>
            <w:vAlign w:val="top"/>
          </w:tcPr>
          <w:p>
            <w:pPr>
              <w:snapToGrid w:val="0"/>
              <w:spacing w:beforeLines="0" w:afterLines="0" w:line="240" w:lineRule="auto"/>
              <w:rPr>
                <w:szCs w:val="21"/>
              </w:rPr>
            </w:pPr>
            <w:r>
              <w:rPr>
                <w:szCs w:val="21"/>
              </w:rPr>
              <w:t>8</w:t>
            </w:r>
            <w:r>
              <w:rPr>
                <w:rFonts w:hint="eastAsia"/>
                <w:szCs w:val="21"/>
              </w:rPr>
              <w:t>. 收治病例的医疗机构要采集病例的相关临床标本，尽快将标本送至当地指定的疾控机构或医疗机构或第三方检测机构实验室进行相关病原检测病原标本。病原</w:t>
            </w:r>
            <w:r>
              <w:rPr>
                <w:szCs w:val="21"/>
              </w:rPr>
              <w:t>标本在产生地点进行压力蒸汽灭菌或化学消毒处理后，按感染性废物收集处理，有记录。</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67" w:type="dxa"/>
            <w:vAlign w:val="top"/>
          </w:tcPr>
          <w:p>
            <w:pPr>
              <w:snapToGrid w:val="0"/>
              <w:spacing w:beforeLines="0" w:afterLines="0" w:line="240" w:lineRule="auto"/>
              <w:rPr>
                <w:szCs w:val="21"/>
              </w:rPr>
            </w:pPr>
            <w:r>
              <w:rPr>
                <w:rFonts w:hint="eastAsia"/>
                <w:szCs w:val="21"/>
              </w:rPr>
              <w:t>9.配备必要的个人防护用品和消毒用品。</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67" w:type="dxa"/>
            <w:vAlign w:val="top"/>
          </w:tcPr>
          <w:p>
            <w:pPr>
              <w:snapToGrid w:val="0"/>
              <w:spacing w:beforeLines="0" w:afterLines="0" w:line="240" w:lineRule="auto"/>
              <w:rPr>
                <w:szCs w:val="21"/>
              </w:rPr>
            </w:pPr>
            <w:r>
              <w:rPr>
                <w:szCs w:val="21"/>
              </w:rPr>
              <w:t>10</w:t>
            </w:r>
            <w:r>
              <w:rPr>
                <w:rFonts w:hint="eastAsia"/>
                <w:szCs w:val="21"/>
              </w:rPr>
              <w:t>.有被传染病病原体污染的场所、物品、污水进行消毒记录。医疗废物处置符合要求。</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7" w:type="dxa"/>
            <w:vAlign w:val="top"/>
          </w:tcPr>
          <w:p>
            <w:pPr>
              <w:snapToGrid w:val="0"/>
              <w:spacing w:beforeLines="0" w:afterLines="0" w:line="240" w:lineRule="auto"/>
              <w:rPr>
                <w:szCs w:val="21"/>
              </w:rPr>
            </w:pPr>
            <w:r>
              <w:rPr>
                <w:rFonts w:hint="eastAsia"/>
                <w:szCs w:val="21"/>
              </w:rPr>
              <w:t>11.开展消毒与灭菌效果监测</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067" w:type="dxa"/>
            <w:vAlign w:val="top"/>
          </w:tcPr>
          <w:p>
            <w:pPr>
              <w:snapToGrid w:val="0"/>
              <w:spacing w:beforeLines="0" w:afterLines="0" w:line="240" w:lineRule="auto"/>
              <w:rPr>
                <w:szCs w:val="21"/>
              </w:rPr>
            </w:pPr>
            <w:r>
              <w:rPr>
                <w:rFonts w:hint="eastAsia"/>
                <w:szCs w:val="21"/>
              </w:rPr>
              <w:t>12. 医院使用的消毒</w:t>
            </w:r>
            <w:r>
              <w:rPr>
                <w:szCs w:val="21"/>
              </w:rPr>
              <w:t>产品</w:t>
            </w:r>
            <w:r>
              <w:rPr>
                <w:rFonts w:hint="eastAsia"/>
                <w:szCs w:val="21"/>
              </w:rPr>
              <w:t>（手消毒剂等）</w:t>
            </w:r>
            <w:r>
              <w:rPr>
                <w:szCs w:val="21"/>
              </w:rPr>
              <w:t>在有效期内</w:t>
            </w:r>
            <w:r>
              <w:rPr>
                <w:rFonts w:hint="eastAsia"/>
                <w:szCs w:val="21"/>
              </w:rPr>
              <w:t>使用</w:t>
            </w:r>
            <w:r>
              <w:rPr>
                <w:szCs w:val="21"/>
              </w:rPr>
              <w:t>。索证</w:t>
            </w:r>
            <w:r>
              <w:rPr>
                <w:rFonts w:hint="eastAsia"/>
                <w:szCs w:val="21"/>
              </w:rPr>
              <w:t>情况：</w:t>
            </w:r>
            <w:r>
              <w:rPr>
                <w:szCs w:val="21"/>
              </w:rPr>
              <w:t>有消毒产品生产企业卫生许可证</w:t>
            </w:r>
            <w:r>
              <w:rPr>
                <w:rFonts w:hint="eastAsia"/>
                <w:szCs w:val="21"/>
              </w:rPr>
              <w:t>、产品</w:t>
            </w:r>
            <w:r>
              <w:rPr>
                <w:szCs w:val="21"/>
              </w:rPr>
              <w:t>有消毒产品卫生安全评价报告</w:t>
            </w:r>
            <w:r>
              <w:rPr>
                <w:rFonts w:hint="eastAsia"/>
                <w:szCs w:val="21"/>
              </w:rPr>
              <w:t>。</w:t>
            </w:r>
          </w:p>
        </w:tc>
        <w:tc>
          <w:tcPr>
            <w:tcW w:w="1126" w:type="dxa"/>
            <w:vAlign w:val="center"/>
          </w:tcPr>
          <w:p>
            <w:pPr>
              <w:snapToGrid w:val="0"/>
              <w:spacing w:beforeLines="0" w:afterLines="0" w:line="240" w:lineRule="auto"/>
              <w:jc w:val="center"/>
              <w:rPr>
                <w:szCs w:val="21"/>
              </w:rPr>
            </w:pPr>
            <w:r>
              <w:rPr>
                <w:rFonts w:hint="eastAsia"/>
                <w:szCs w:val="21"/>
              </w:rPr>
              <w:t>是□</w:t>
            </w:r>
          </w:p>
          <w:p>
            <w:pPr>
              <w:snapToGrid w:val="0"/>
              <w:spacing w:beforeLines="0" w:afterLines="0" w:line="240" w:lineRule="auto"/>
              <w:jc w:val="center"/>
              <w:rPr>
                <w:szCs w:val="21"/>
              </w:rPr>
            </w:pPr>
            <w:r>
              <w:rPr>
                <w:rFonts w:hint="eastAsia"/>
                <w:szCs w:val="21"/>
              </w:rPr>
              <w:t>否□</w:t>
            </w:r>
          </w:p>
        </w:tc>
        <w:tc>
          <w:tcPr>
            <w:tcW w:w="3094" w:type="dxa"/>
            <w:vAlign w:val="top"/>
          </w:tcPr>
          <w:p>
            <w:pPr>
              <w:snapToGrid w:val="0"/>
              <w:spacing w:beforeLines="0" w:afterLines="0" w:line="240" w:lineRule="auto"/>
              <w:rPr>
                <w:szCs w:val="21"/>
              </w:rPr>
            </w:pPr>
          </w:p>
        </w:tc>
      </w:tr>
    </w:tbl>
    <w:p>
      <w:pPr>
        <w:autoSpaceDN w:val="0"/>
        <w:spacing w:line="350" w:lineRule="atLeast"/>
        <w:rPr>
          <w:rFonts w:ascii="仿宋" w:hAnsi="仿宋" w:eastAsia="仿宋"/>
          <w:b/>
          <w:sz w:val="32"/>
          <w:szCs w:val="32"/>
        </w:rPr>
        <w:sectPr>
          <w:footerReference r:id="rId3" w:type="default"/>
          <w:pgSz w:w="11906" w:h="16838"/>
          <w:pgMar w:top="2098" w:right="1474" w:bottom="1984" w:left="1587" w:header="851" w:footer="1531"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8240;mso-width-relative:page;mso-height-relative:page;" filled="f" stroked="f" coordsize="21600,21600" o:gfxdata="UEsDBAoAAAAAAIdO4kAAAAAAAAAAAAAAAAAEAAAAZHJzL1BLAwQUAAAACACHTuJAi9oXmt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vaF5rSAAAABwEA&#10;AA8AAAAAAAAAAQAgAAAAIgAAAGRycy9kb3ducmV2LnhtbFBLAQIUABQAAAAIAIdO4kAPs5vjrgEA&#10;AEsDAAAOAAAAAAAAAAEAIAAAACEBAABkcnMvZTJvRG9jLnhtbFBLBQYAAAAABgAGAFkBAABBBQAA&#10;AAA=&#10;">
              <v:fill on="f" focussize="0,0"/>
              <v:stroke on="f"/>
              <v:imagedata o:title=""/>
              <o:lock v:ext="edit" aspectratio="f"/>
              <v:textbox inset="0mm,0mm,0mm,0mm" style="mso-fit-shape-to-text:t;">
                <w:txbxContent>
                  <w:p>
                    <w:pPr>
                      <w:snapToGrid w:val="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1BF4"/>
    <w:rsid w:val="60C5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2020-04-09T05:44:00Z</dcterms:created>
  <dc:creator>so</dc:creator>
  <cp:lastModifiedBy>so</cp:lastModifiedBy>
  <dcterms:modified xsi:type="dcterms:W3CDTF">2020-04-09T05:45:16Z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