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359" w:type="dxa"/>
        <w:jc w:val="center"/>
        <w:tblLayout w:type="fixed"/>
        <w:tblCellMar>
          <w:top w:w="0" w:type="dxa"/>
          <w:left w:w="108" w:type="dxa"/>
          <w:bottom w:w="0" w:type="dxa"/>
          <w:right w:w="108" w:type="dxa"/>
        </w:tblCellMar>
      </w:tblPr>
      <w:tblGrid>
        <w:gridCol w:w="691"/>
        <w:gridCol w:w="963"/>
        <w:gridCol w:w="1092"/>
        <w:gridCol w:w="675"/>
        <w:gridCol w:w="1133"/>
        <w:gridCol w:w="303"/>
        <w:gridCol w:w="1216"/>
        <w:gridCol w:w="845"/>
        <w:gridCol w:w="550"/>
        <w:gridCol w:w="542"/>
        <w:gridCol w:w="616"/>
        <w:gridCol w:w="733"/>
      </w:tblGrid>
      <w:tr w14:paraId="6B0655E8">
        <w:tblPrEx>
          <w:tblCellMar>
            <w:top w:w="0" w:type="dxa"/>
            <w:left w:w="108" w:type="dxa"/>
            <w:bottom w:w="0" w:type="dxa"/>
            <w:right w:w="108" w:type="dxa"/>
          </w:tblCellMar>
        </w:tblPrEx>
        <w:trPr>
          <w:trHeight w:val="440" w:hRule="exact"/>
          <w:jc w:val="center"/>
        </w:trPr>
        <w:tc>
          <w:tcPr>
            <w:tcW w:w="9359" w:type="dxa"/>
            <w:gridSpan w:val="12"/>
            <w:tcBorders>
              <w:top w:val="nil"/>
              <w:left w:val="nil"/>
              <w:bottom w:val="nil"/>
              <w:right w:val="nil"/>
            </w:tcBorders>
            <w:noWrap w:val="0"/>
            <w:vAlign w:val="center"/>
          </w:tcPr>
          <w:p w14:paraId="3FFB14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194" w:hRule="atLeast"/>
          <w:jc w:val="center"/>
        </w:trPr>
        <w:tc>
          <w:tcPr>
            <w:tcW w:w="9359" w:type="dxa"/>
            <w:gridSpan w:val="12"/>
            <w:tcBorders>
              <w:top w:val="nil"/>
              <w:left w:val="nil"/>
              <w:bottom w:val="single" w:color="auto" w:sz="4" w:space="0"/>
              <w:right w:val="nil"/>
            </w:tcBorders>
            <w:noWrap w:val="0"/>
            <w:vAlign w:val="top"/>
          </w:tcPr>
          <w:p w14:paraId="6BDB341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74BFFC56">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311134A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705" w:type="dxa"/>
            <w:gridSpan w:val="10"/>
            <w:tcBorders>
              <w:top w:val="single" w:color="auto" w:sz="4" w:space="0"/>
              <w:left w:val="single" w:color="auto" w:sz="4" w:space="0"/>
              <w:bottom w:val="single" w:color="auto" w:sz="4" w:space="0"/>
              <w:right w:val="single" w:color="auto" w:sz="4" w:space="0"/>
            </w:tcBorders>
            <w:shd w:val="clear" w:color="auto" w:fill="auto"/>
            <w:noWrap w:val="0"/>
            <w:vAlign w:val="center"/>
          </w:tcPr>
          <w:p w14:paraId="56ADA43E">
            <w:pPr>
              <w:keepNext w:val="0"/>
              <w:keepLines w:val="0"/>
              <w:pageBreakBefore w:val="0"/>
              <w:widowControl/>
              <w:tabs>
                <w:tab w:val="left" w:pos="2165"/>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ab/>
            </w:r>
            <w:r>
              <w:rPr>
                <w:rFonts w:hint="eastAsia" w:ascii="宋体" w:hAnsi="宋体" w:eastAsia="宋体" w:cs="宋体"/>
                <w:kern w:val="0"/>
                <w:sz w:val="18"/>
                <w:szCs w:val="18"/>
                <w:lang w:eastAsia="zh-CN"/>
              </w:rPr>
              <w:t>同仁医院临床教学学生宿舍租赁</w:t>
            </w:r>
          </w:p>
        </w:tc>
      </w:tr>
      <w:tr w14:paraId="6A11D624">
        <w:tblPrEx>
          <w:tblCellMar>
            <w:top w:w="0" w:type="dxa"/>
            <w:left w:w="108" w:type="dxa"/>
            <w:bottom w:w="0" w:type="dxa"/>
            <w:right w:w="108" w:type="dxa"/>
          </w:tblCellMar>
        </w:tblPrEx>
        <w:trPr>
          <w:trHeight w:val="755"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7E38C1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419"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4C9C48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北京市医院管理中心</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10B693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实施单位</w:t>
            </w:r>
          </w:p>
        </w:tc>
        <w:tc>
          <w:tcPr>
            <w:tcW w:w="189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229CB3B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首都医科大学</w:t>
            </w:r>
          </w:p>
          <w:p w14:paraId="0465E6E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附属北京同仁医院</w:t>
            </w:r>
          </w:p>
        </w:tc>
      </w:tr>
      <w:tr w14:paraId="1513723B">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73286B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FD2C1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CA6B1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年初预算数</w:t>
            </w: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9DAFD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全年预算数</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E1FA6C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全年执行数</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3348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分值</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14D6B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执行率</w:t>
            </w: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91A525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得分</w:t>
            </w:r>
          </w:p>
        </w:tc>
      </w:tr>
      <w:tr w14:paraId="125D4486">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6C8755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EF42FEB">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年度资金总额</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6A048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BC0A85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5BB55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57AF9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10</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EDC7C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E9B56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r>
      <w:tr w14:paraId="7D985453">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5A2837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6AC026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其中：当年财政拨款</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767C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EC2F8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2E3C47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499.200000</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129DE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04E58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2EC0F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r>
      <w:tr w14:paraId="6B2EC682">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4389D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01938C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 xml:space="preserve">     上年结转资金</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A63B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903B96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F39E07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66BAC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DA8901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B8E12B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r>
      <w:tr w14:paraId="66814667">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118344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DC0447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 xml:space="preserve">  其他资金</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C813B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51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1915C6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856EB2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6D544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c>
          <w:tcPr>
            <w:tcW w:w="6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DEC84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c>
          <w:tcPr>
            <w:tcW w:w="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492B90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w:t>
            </w:r>
          </w:p>
        </w:tc>
      </w:tr>
      <w:tr w14:paraId="20B3EF48">
        <w:tblPrEx>
          <w:tblCellMar>
            <w:top w:w="0" w:type="dxa"/>
            <w:left w:w="108" w:type="dxa"/>
            <w:bottom w:w="0" w:type="dxa"/>
            <w:right w:w="108" w:type="dxa"/>
          </w:tblCellMar>
        </w:tblPrEx>
        <w:trPr>
          <w:trHeight w:val="291" w:hRule="exact"/>
          <w:jc w:val="center"/>
        </w:trPr>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14:paraId="5C697D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382"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14:paraId="21263DE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lang w:val="en-US" w:eastAsia="zh-CN" w:bidi="ar-SA"/>
              </w:rPr>
            </w:pPr>
            <w:r>
              <w:rPr>
                <w:rFonts w:hint="eastAsia" w:ascii="宋体" w:hAnsi="宋体" w:eastAsia="宋体" w:cs="宋体"/>
                <w:color w:val="auto"/>
                <w:kern w:val="0"/>
                <w:sz w:val="18"/>
                <w:szCs w:val="18"/>
                <w:highlight w:val="none"/>
              </w:rPr>
              <w:t>预期目标</w:t>
            </w:r>
          </w:p>
        </w:tc>
        <w:tc>
          <w:tcPr>
            <w:tcW w:w="3286"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3926DC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实际完成情况</w:t>
            </w:r>
          </w:p>
        </w:tc>
      </w:tr>
      <w:tr w14:paraId="4F074571">
        <w:tblPrEx>
          <w:tblCellMar>
            <w:top w:w="0" w:type="dxa"/>
            <w:left w:w="108" w:type="dxa"/>
            <w:bottom w:w="0" w:type="dxa"/>
            <w:right w:w="108" w:type="dxa"/>
          </w:tblCellMar>
        </w:tblPrEx>
        <w:trPr>
          <w:trHeight w:val="4041"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05AE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5382"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14:paraId="74D23BA4">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在保证医院正常运营和教学任务的前提下，通过租赁新的学生宿舍，提升学生的住宿环境和满意度，同时缓解医院现有医疗资源的使用压力。具体目标包括：</w:t>
            </w:r>
          </w:p>
          <w:p w14:paraId="447881FB">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1.提升学生住宿环境：通过租用新的学生宿舍，为学生提供更好的住宿条件，改善学生的生活和学习环境。</w:t>
            </w:r>
          </w:p>
          <w:p w14:paraId="03347423">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2.提高床位使用率和周转率</w:t>
            </w:r>
            <w:r>
              <w:rPr>
                <w:rFonts w:hint="eastAsia" w:ascii="宋体" w:hAnsi="宋体" w:eastAsia="宋体" w:cs="宋体"/>
                <w:color w:val="auto"/>
                <w:kern w:val="0"/>
                <w:sz w:val="18"/>
                <w:szCs w:val="18"/>
                <w:lang w:eastAsia="zh-CN"/>
              </w:rPr>
              <w:t>：</w:t>
            </w:r>
            <w:r>
              <w:rPr>
                <w:rFonts w:hint="eastAsia" w:ascii="宋体" w:hAnsi="宋体" w:cs="宋体"/>
                <w:color w:val="auto"/>
                <w:kern w:val="0"/>
                <w:sz w:val="18"/>
                <w:szCs w:val="18"/>
                <w:lang w:eastAsia="zh-CN"/>
              </w:rPr>
              <w:t>及时了解学生住宿情况，合理安排学生床位</w:t>
            </w:r>
            <w:r>
              <w:rPr>
                <w:rFonts w:hint="eastAsia" w:ascii="宋体" w:hAnsi="宋体" w:eastAsia="宋体" w:cs="宋体"/>
                <w:color w:val="auto"/>
                <w:kern w:val="0"/>
                <w:sz w:val="18"/>
                <w:szCs w:val="18"/>
                <w:lang w:eastAsia="zh-CN"/>
              </w:rPr>
              <w:t>，提高床位的使用率</w:t>
            </w:r>
            <w:r>
              <w:rPr>
                <w:rFonts w:hint="eastAsia" w:ascii="宋体" w:hAnsi="宋体" w:eastAsia="宋体" w:cs="宋体"/>
                <w:kern w:val="0"/>
                <w:sz w:val="18"/>
                <w:szCs w:val="18"/>
                <w:lang w:eastAsia="zh-CN"/>
              </w:rPr>
              <w:t>和周转率，更好地满足学生的住宿需求。</w:t>
            </w:r>
          </w:p>
          <w:p w14:paraId="6C9EB09C">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3.降低学生住宿成本：通过租赁学生宿舍，降低学生的住宿成本，更好地适应学生的经济状况。</w:t>
            </w:r>
          </w:p>
          <w:p w14:paraId="0951B811">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4.提高医院医疗资源的使用效率。</w:t>
            </w:r>
            <w:bookmarkStart w:id="0" w:name="_GoBack"/>
            <w:bookmarkEnd w:id="0"/>
          </w:p>
          <w:p w14:paraId="0493639A">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5.确保学生安全：通过配备专职宿舍管理员和相关安防人员，确保学生的安全和稳定。</w:t>
            </w:r>
          </w:p>
          <w:p w14:paraId="297F2312">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通过实现以上目标，首都医科大学附属北京同仁医院不仅可以提高教学质量和医疗服务水平，还可以更好地满足学生的住宿需求，为医院的可持续发展做出贡献。</w:t>
            </w:r>
          </w:p>
        </w:tc>
        <w:tc>
          <w:tcPr>
            <w:tcW w:w="3286"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F000BAE">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首都医科大学附属北京同仁医院学生宿舍租赁项目在各方的共同努力下，已顺利完成各项预定目标，取得了显著的成效。通过提升学生住宿环境、提高床位使用率和周转率、降低学生住宿成本、提高医院医疗资源的使用效率以及确保学生安全，医院在教学和医疗服务方面都实现了质的飞跃，为医院的可持续发展注入了新的活力。</w:t>
            </w:r>
          </w:p>
          <w:p w14:paraId="65F6F94D">
            <w:pPr>
              <w:keepNext w:val="0"/>
              <w:keepLines w:val="0"/>
              <w:pageBreakBefore w:val="0"/>
              <w:widowControl/>
              <w:tabs>
                <w:tab w:val="left" w:pos="797"/>
              </w:tabs>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在未来的工作中，医院将继续关注学生的需求和医院的发展，进一步优化宿舍管理和服务，持续提升医院的教学和医疗水平，为培养更多优秀的医学人才、为患者的健康保驾护航做出更大的贡献。</w:t>
            </w:r>
          </w:p>
          <w:p w14:paraId="6629DC0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p>
        </w:tc>
      </w:tr>
      <w:tr w14:paraId="540813F3">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14:paraId="68BED45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14:paraId="5B83BB8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90分</w:t>
            </w:r>
            <w:r>
              <w:rPr>
                <w:rFonts w:hint="eastAsia" w:ascii="宋体" w:hAnsi="宋体" w:eastAsia="宋体" w:cs="宋体"/>
                <w:kern w:val="0"/>
                <w:sz w:val="18"/>
                <w:szCs w:val="18"/>
                <w:lang w:eastAsia="zh-CN"/>
              </w:rPr>
              <w:t>）</w:t>
            </w:r>
          </w:p>
        </w:tc>
        <w:tc>
          <w:tcPr>
            <w:tcW w:w="963" w:type="dxa"/>
            <w:tcBorders>
              <w:top w:val="single" w:color="auto" w:sz="4" w:space="0"/>
              <w:left w:val="single" w:color="auto" w:sz="4" w:space="0"/>
              <w:bottom w:val="single" w:color="auto" w:sz="4" w:space="0"/>
              <w:right w:val="single" w:color="auto" w:sz="4" w:space="0"/>
            </w:tcBorders>
            <w:noWrap w:val="0"/>
            <w:vAlign w:val="center"/>
          </w:tcPr>
          <w:p w14:paraId="4D91D35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一级指标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278AD7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二级指标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6717BD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三级指标</w:t>
            </w:r>
          </w:p>
        </w:tc>
        <w:tc>
          <w:tcPr>
            <w:tcW w:w="1216" w:type="dxa"/>
            <w:tcBorders>
              <w:top w:val="single" w:color="auto" w:sz="4" w:space="0"/>
              <w:left w:val="single" w:color="auto" w:sz="4" w:space="0"/>
              <w:bottom w:val="single" w:color="auto" w:sz="4" w:space="0"/>
              <w:right w:val="single" w:color="auto" w:sz="4" w:space="0"/>
            </w:tcBorders>
            <w:noWrap w:val="0"/>
            <w:vAlign w:val="center"/>
          </w:tcPr>
          <w:p w14:paraId="2D7C650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年度</w:t>
            </w:r>
          </w:p>
          <w:p w14:paraId="1F8DF44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指标值</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21F9237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实际</w:t>
            </w:r>
          </w:p>
          <w:p w14:paraId="656740A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完成值</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3C8834A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分值</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454BCA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得分</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4D56821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偏差原因分析及改进措施</w:t>
            </w:r>
          </w:p>
        </w:tc>
      </w:tr>
      <w:tr w14:paraId="1E119F95">
        <w:tblPrEx>
          <w:tblCellMar>
            <w:top w:w="0" w:type="dxa"/>
            <w:left w:w="108" w:type="dxa"/>
            <w:bottom w:w="0" w:type="dxa"/>
            <w:right w:w="108" w:type="dxa"/>
          </w:tblCellMar>
        </w:tblPrEx>
        <w:trPr>
          <w:trHeight w:val="302"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00EEA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noWrap w:val="0"/>
            <w:vAlign w:val="center"/>
          </w:tcPr>
          <w:p w14:paraId="11282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p w14:paraId="0798E3A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cs="宋体"/>
                <w:kern w:val="0"/>
                <w:sz w:val="18"/>
                <w:szCs w:val="18"/>
                <w:lang w:val="en-US" w:eastAsia="zh-CN"/>
              </w:rPr>
              <w:t>5</w:t>
            </w:r>
            <w:r>
              <w:rPr>
                <w:rFonts w:hint="eastAsia" w:ascii="宋体" w:hAnsi="宋体" w:eastAsia="宋体" w:cs="宋体"/>
                <w:kern w:val="0"/>
                <w:sz w:val="18"/>
                <w:szCs w:val="18"/>
                <w:lang w:val="en-US" w:eastAsia="zh-CN"/>
              </w:rPr>
              <w:t>9分</w:t>
            </w: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06B14A4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0D56F52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住宿租用房间</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3F2AA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154套</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C502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154套</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8EF39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C4672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257A7C0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13A842AF">
        <w:tblPrEx>
          <w:tblCellMar>
            <w:top w:w="0" w:type="dxa"/>
            <w:left w:w="108" w:type="dxa"/>
            <w:bottom w:w="0" w:type="dxa"/>
            <w:right w:w="108" w:type="dxa"/>
          </w:tblCellMar>
        </w:tblPrEx>
        <w:trPr>
          <w:trHeight w:val="291"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76808F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6B8978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48C180E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51F44D7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解决住宿人数</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4455AE">
            <w:pPr>
              <w:keepNext w:val="0"/>
              <w:keepLines w:val="0"/>
              <w:pageBreakBefore w:val="0"/>
              <w:widowControl/>
              <w:tabs>
                <w:tab w:val="left" w:pos="205"/>
              </w:tabs>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616人</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4FC46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616人</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1907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9B60C8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1BD0E3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20C8867">
        <w:tblPrEx>
          <w:tblCellMar>
            <w:top w:w="0" w:type="dxa"/>
            <w:left w:w="108" w:type="dxa"/>
            <w:bottom w:w="0" w:type="dxa"/>
            <w:right w:w="108" w:type="dxa"/>
          </w:tblCellMar>
        </w:tblPrEx>
        <w:trPr>
          <w:trHeight w:val="764"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06E62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654D29E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234CF46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38156F6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住宿租赁质量</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2DAB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符合国家学生宿舍质量标准</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B0B64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符合标准</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5B48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7BBAD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582CE7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6A7E590A">
        <w:tblPrEx>
          <w:tblCellMar>
            <w:top w:w="0" w:type="dxa"/>
            <w:left w:w="108" w:type="dxa"/>
            <w:bottom w:w="0" w:type="dxa"/>
            <w:right w:w="108" w:type="dxa"/>
          </w:tblCellMar>
        </w:tblPrEx>
        <w:trPr>
          <w:trHeight w:val="715"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EB2D45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32E3E1C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5FFCB5A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5AB7765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租金支付</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5810F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2024年11月</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FB6B6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2024年10月</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52CFF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C4FA7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51898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09C46AD7">
        <w:tblPrEx>
          <w:tblCellMar>
            <w:top w:w="0" w:type="dxa"/>
            <w:left w:w="108" w:type="dxa"/>
            <w:bottom w:w="0" w:type="dxa"/>
            <w:right w:w="108" w:type="dxa"/>
          </w:tblCellMar>
        </w:tblPrEx>
        <w:trPr>
          <w:trHeight w:val="488"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7A3C394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66E42C2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755FC97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3FE264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完成方案制定和前期准备工作</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04BEB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2024年1月</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2B581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2023年12月</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8BED5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BDC16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1C80F68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F390920">
        <w:tblPrEx>
          <w:tblCellMar>
            <w:top w:w="0" w:type="dxa"/>
            <w:left w:w="108" w:type="dxa"/>
            <w:bottom w:w="0" w:type="dxa"/>
            <w:right w:w="108" w:type="dxa"/>
          </w:tblCellMar>
        </w:tblPrEx>
        <w:trPr>
          <w:trHeight w:val="75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1D9A3EF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0"/>
            <w:vAlign w:val="center"/>
          </w:tcPr>
          <w:p w14:paraId="78EA6BA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4D8DB91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902F43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签订合同</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03C18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2024年2月</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F3E09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2024年1月</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A00E40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6EBC9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1D25D8D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535A2D0">
        <w:tblPrEx>
          <w:tblCellMar>
            <w:top w:w="0" w:type="dxa"/>
            <w:left w:w="108" w:type="dxa"/>
            <w:bottom w:w="0" w:type="dxa"/>
            <w:right w:w="108" w:type="dxa"/>
          </w:tblCellMar>
        </w:tblPrEx>
        <w:trPr>
          <w:trHeight w:val="68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728D88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14:paraId="1EBD7C7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59BC04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485B1B2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项目预算控制数</w:t>
            </w:r>
          </w:p>
        </w:tc>
        <w:tc>
          <w:tcPr>
            <w:tcW w:w="1216" w:type="dxa"/>
            <w:tcBorders>
              <w:top w:val="single" w:color="auto" w:sz="4" w:space="0"/>
              <w:left w:val="single" w:color="auto" w:sz="4" w:space="0"/>
              <w:bottom w:val="single" w:color="auto" w:sz="4" w:space="0"/>
              <w:right w:val="single" w:color="auto" w:sz="4" w:space="0"/>
            </w:tcBorders>
            <w:noWrap w:val="0"/>
            <w:vAlign w:val="center"/>
          </w:tcPr>
          <w:p w14:paraId="3C7C9E2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499.2万元</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708F5C6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499.2万元</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4C73BCC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2DF1D61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754FB9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70971825">
        <w:tblPrEx>
          <w:tblCellMar>
            <w:top w:w="0" w:type="dxa"/>
            <w:left w:w="108" w:type="dxa"/>
            <w:bottom w:w="0" w:type="dxa"/>
            <w:right w:w="108" w:type="dxa"/>
          </w:tblCellMar>
        </w:tblPrEx>
        <w:trPr>
          <w:trHeight w:val="151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02B475C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noWrap w:val="0"/>
            <w:vAlign w:val="center"/>
          </w:tcPr>
          <w:p w14:paraId="186070B4">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p w14:paraId="7AC5EEC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21分</w:t>
            </w: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70F80B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3C134DA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8379DF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安全事故下降率</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2F070A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通过租用合法合规的学生宿舍会有效的降低安全事故的发生</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EEB377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无安全事故发生</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325A77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B2B78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3F7164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6F3E9621">
        <w:tblPrEx>
          <w:tblCellMar>
            <w:top w:w="0" w:type="dxa"/>
            <w:left w:w="108" w:type="dxa"/>
            <w:bottom w:w="0" w:type="dxa"/>
            <w:right w:w="108" w:type="dxa"/>
          </w:tblCellMar>
        </w:tblPrEx>
        <w:trPr>
          <w:trHeight w:val="879"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392080F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6FBB36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2737F65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2A84F1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保障专科、本科、研究生、博士生住宿需求</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9B0661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得到保障</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17DC29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满足需求</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28E9A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2E6233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728CF7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F1F7B00">
        <w:tblPrEx>
          <w:tblCellMar>
            <w:top w:w="0" w:type="dxa"/>
            <w:left w:w="108" w:type="dxa"/>
            <w:bottom w:w="0" w:type="dxa"/>
            <w:right w:w="108" w:type="dxa"/>
          </w:tblCellMar>
        </w:tblPrEx>
        <w:trPr>
          <w:trHeight w:val="291"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35FB87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noWrap w:val="0"/>
            <w:vAlign w:val="center"/>
          </w:tcPr>
          <w:p w14:paraId="136C99B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14:paraId="364B3FF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12A63F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住宿租赁使用率</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108F9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95%</w:t>
            </w:r>
          </w:p>
        </w:tc>
        <w:tc>
          <w:tcPr>
            <w:tcW w:w="8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B77F9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97%</w:t>
            </w:r>
          </w:p>
        </w:tc>
        <w:tc>
          <w:tcPr>
            <w:tcW w:w="5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3C1C7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A798A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15BA9BF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6D5DFAC5">
        <w:tblPrEx>
          <w:tblCellMar>
            <w:top w:w="0" w:type="dxa"/>
            <w:left w:w="108" w:type="dxa"/>
            <w:bottom w:w="0" w:type="dxa"/>
            <w:right w:w="108" w:type="dxa"/>
          </w:tblCellMar>
        </w:tblPrEx>
        <w:trPr>
          <w:trHeight w:val="753" w:hRule="exact"/>
          <w:jc w:val="center"/>
        </w:trPr>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14:paraId="48B305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tcBorders>
              <w:top w:val="single" w:color="auto" w:sz="4" w:space="0"/>
              <w:left w:val="single" w:color="auto" w:sz="4" w:space="0"/>
              <w:bottom w:val="single" w:color="auto" w:sz="4" w:space="0"/>
              <w:right w:val="single" w:color="auto" w:sz="4" w:space="0"/>
            </w:tcBorders>
            <w:noWrap w:val="0"/>
            <w:vAlign w:val="center"/>
          </w:tcPr>
          <w:p w14:paraId="2D0ABE1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0347758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p w14:paraId="7FF19B1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6B1692C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14:paraId="258E6C6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学生的满意度</w:t>
            </w:r>
          </w:p>
        </w:tc>
        <w:tc>
          <w:tcPr>
            <w:tcW w:w="1216" w:type="dxa"/>
            <w:tcBorders>
              <w:top w:val="single" w:color="auto" w:sz="4" w:space="0"/>
              <w:left w:val="single" w:color="auto" w:sz="4" w:space="0"/>
              <w:bottom w:val="single" w:color="auto" w:sz="4" w:space="0"/>
              <w:right w:val="single" w:color="auto" w:sz="4" w:space="0"/>
            </w:tcBorders>
            <w:noWrap w:val="0"/>
            <w:vAlign w:val="center"/>
          </w:tcPr>
          <w:p w14:paraId="1DFA822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95%</w:t>
            </w:r>
          </w:p>
        </w:tc>
        <w:tc>
          <w:tcPr>
            <w:tcW w:w="845" w:type="dxa"/>
            <w:tcBorders>
              <w:top w:val="single" w:color="auto" w:sz="4" w:space="0"/>
              <w:left w:val="single" w:color="auto" w:sz="4" w:space="0"/>
              <w:bottom w:val="single" w:color="auto" w:sz="4" w:space="0"/>
              <w:right w:val="single" w:color="auto" w:sz="4" w:space="0"/>
            </w:tcBorders>
            <w:noWrap w:val="0"/>
            <w:vAlign w:val="center"/>
          </w:tcPr>
          <w:p w14:paraId="0538573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w:t>
            </w:r>
            <w:r>
              <w:rPr>
                <w:rFonts w:hint="eastAsia" w:ascii="宋体" w:hAnsi="宋体" w:cs="宋体"/>
                <w:kern w:val="0"/>
                <w:sz w:val="18"/>
                <w:szCs w:val="18"/>
                <w:lang w:val="en-US" w:eastAsia="zh-CN"/>
              </w:rPr>
              <w:t>5</w:t>
            </w:r>
            <w:r>
              <w:rPr>
                <w:rFonts w:hint="eastAsia" w:ascii="宋体" w:hAnsi="宋体" w:eastAsia="宋体" w:cs="宋体"/>
                <w:kern w:val="0"/>
                <w:sz w:val="18"/>
                <w:szCs w:val="18"/>
                <w:lang w:val="en-US" w:eastAsia="zh-CN"/>
              </w:rPr>
              <w:t>%</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75993E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391CDC3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kern w:val="0"/>
                <w:sz w:val="18"/>
                <w:szCs w:val="18"/>
                <w:lang w:val="en-US"/>
              </w:rPr>
            </w:pPr>
            <w:r>
              <w:rPr>
                <w:rFonts w:hint="eastAsia" w:ascii="宋体" w:hAnsi="宋体" w:cs="宋体"/>
                <w:kern w:val="0"/>
                <w:sz w:val="18"/>
                <w:szCs w:val="18"/>
                <w:lang w:val="en-US" w:eastAsia="zh-CN"/>
              </w:rPr>
              <w:t>10</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667E7DB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p>
        </w:tc>
      </w:tr>
      <w:tr w14:paraId="39966105">
        <w:tblPrEx>
          <w:tblCellMar>
            <w:top w:w="0" w:type="dxa"/>
            <w:left w:w="108" w:type="dxa"/>
            <w:bottom w:w="0" w:type="dxa"/>
            <w:right w:w="108" w:type="dxa"/>
          </w:tblCellMar>
        </w:tblPrEx>
        <w:trPr>
          <w:trHeight w:val="291" w:hRule="exact"/>
          <w:jc w:val="center"/>
        </w:trPr>
        <w:tc>
          <w:tcPr>
            <w:tcW w:w="6918" w:type="dxa"/>
            <w:gridSpan w:val="8"/>
            <w:tcBorders>
              <w:top w:val="single" w:color="auto" w:sz="4" w:space="0"/>
              <w:left w:val="single" w:color="auto" w:sz="4" w:space="0"/>
              <w:bottom w:val="single" w:color="auto" w:sz="4" w:space="0"/>
              <w:right w:val="single" w:color="auto" w:sz="4" w:space="0"/>
            </w:tcBorders>
            <w:noWrap w:val="0"/>
            <w:vAlign w:val="center"/>
          </w:tcPr>
          <w:p w14:paraId="0CFFACF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0069C55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3B8664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49" w:type="dxa"/>
            <w:gridSpan w:val="2"/>
            <w:tcBorders>
              <w:top w:val="single" w:color="auto" w:sz="4" w:space="0"/>
              <w:left w:val="single" w:color="auto" w:sz="4" w:space="0"/>
              <w:bottom w:val="single" w:color="auto" w:sz="4" w:space="0"/>
              <w:right w:val="single" w:color="auto" w:sz="4" w:space="0"/>
            </w:tcBorders>
            <w:noWrap w:val="0"/>
            <w:vAlign w:val="center"/>
          </w:tcPr>
          <w:p w14:paraId="0B5DE2A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bl>
    <w:p w14:paraId="73F3BBFB"/>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5F6B35"/>
    <w:rsid w:val="0167401F"/>
    <w:rsid w:val="17C30790"/>
    <w:rsid w:val="18072578"/>
    <w:rsid w:val="1C46568C"/>
    <w:rsid w:val="1E9629D7"/>
    <w:rsid w:val="1FA53BA4"/>
    <w:rsid w:val="28FF42C9"/>
    <w:rsid w:val="2A5F4A4E"/>
    <w:rsid w:val="2B551E3A"/>
    <w:rsid w:val="2FDB633A"/>
    <w:rsid w:val="344038DB"/>
    <w:rsid w:val="417824A4"/>
    <w:rsid w:val="4AF157C6"/>
    <w:rsid w:val="4AF85D00"/>
    <w:rsid w:val="53FF01F1"/>
    <w:rsid w:val="559F3D9A"/>
    <w:rsid w:val="58470736"/>
    <w:rsid w:val="5B853A8A"/>
    <w:rsid w:val="5C966734"/>
    <w:rsid w:val="5FE4740F"/>
    <w:rsid w:val="60C20F84"/>
    <w:rsid w:val="63872CC8"/>
    <w:rsid w:val="6CE611BC"/>
    <w:rsid w:val="6E7838C8"/>
    <w:rsid w:val="718F518F"/>
    <w:rsid w:val="7280613C"/>
    <w:rsid w:val="792E04FC"/>
    <w:rsid w:val="7A0D2C62"/>
    <w:rsid w:val="7A1A4ABF"/>
    <w:rsid w:val="7EFD1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1039</Words>
  <Characters>1166</Characters>
  <Lines>0</Lines>
  <Paragraphs>0</Paragraphs>
  <TotalTime>11</TotalTime>
  <ScaleCrop>false</ScaleCrop>
  <LinksUpToDate>false</LinksUpToDate>
  <CharactersWithSpaces>1174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魔杰座</cp:lastModifiedBy>
  <dcterms:modified xsi:type="dcterms:W3CDTF">2025-08-27T05:28:54Z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F59D65AB96864BECA4B76CD066A6E759_13</vt:lpwstr>
  </property>
  <property fmtid="{D5CDD505-2E9C-101B-9397-08002B2CF9AE}" pid="4" name="KSOTemplateDocerSaveRecord">
    <vt:lpwstr>eyJoZGlkIjoiNGZhMDkzYWE4NTcxZWJhN2UwMDlhYjNiMTA4MjMwNjUiLCJ1c2VySWQiOiI3MTcyNTk4MTAifQ==</vt:lpwstr>
  </property>
</Properties>
</file>