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01717">
      <w:pPr>
        <w:widowControl/>
        <w:spacing w:line="640" w:lineRule="exact"/>
        <w:jc w:val="center"/>
        <w:rPr>
          <w:rFonts w:ascii="方正小标宋简体" w:hAnsi="方正小标宋简体" w:eastAsia="方正小标宋简体" w:cs="方正小标宋简体"/>
          <w:sz w:val="40"/>
          <w:szCs w:val="40"/>
        </w:rPr>
      </w:pPr>
    </w:p>
    <w:p w14:paraId="5BAC2DD3">
      <w:pPr>
        <w:widowControl/>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北京市计划生育补助资金转移支付</w:t>
      </w:r>
    </w:p>
    <w:p w14:paraId="0EC69928">
      <w:pPr>
        <w:widowControl/>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2023年度绩效自评报告</w:t>
      </w:r>
    </w:p>
    <w:p w14:paraId="588458EE">
      <w:pPr>
        <w:pStyle w:val="6"/>
        <w:spacing w:after="0" w:line="640" w:lineRule="exact"/>
        <w:rPr>
          <w:rFonts w:ascii="仿宋_GB2312" w:hAnsi="仿宋_GB2312" w:eastAsia="仿宋_GB2312" w:cs="仿宋_GB2312"/>
          <w:sz w:val="32"/>
          <w:szCs w:val="32"/>
        </w:rPr>
      </w:pPr>
      <w:bookmarkStart w:id="10" w:name="_GoBack"/>
      <w:bookmarkEnd w:id="10"/>
    </w:p>
    <w:p w14:paraId="2440245B">
      <w:pPr>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为贯彻落实《中共中央 国务院关于全面实施预算绩效管理的意见》《中共北京市委 北京市人民政府关于全面实施预算绩效管理的实施意见》有关精神，加快建成全方位、全过程、全覆盖的预算绩效管理体系，切实增强资金使用单位支出绩效意识，提高中央对地方转移支付资金使用效益，根据《财政部关于开展2023年度中央对地方转移支付预算执行情况绩效自评工作的通知》（财监〔2024〕3号）文件要求，北京市卫生健康委员会组织开展了2023年计划生育补助资金转移支付的绩效自评工作，形成绩效自评报告。</w:t>
      </w:r>
    </w:p>
    <w:p w14:paraId="57889653">
      <w:pPr>
        <w:widowControl/>
        <w:numPr>
          <w:ilvl w:val="0"/>
          <w:numId w:val="1"/>
        </w:numPr>
        <w:kinsoku w:val="0"/>
        <w:autoSpaceDE w:val="0"/>
        <w:autoSpaceDN w:val="0"/>
        <w:adjustRightInd w:val="0"/>
        <w:snapToGrid w:val="0"/>
        <w:spacing w:line="580" w:lineRule="exact"/>
        <w:ind w:firstLine="640" w:firstLineChars="200"/>
        <w:jc w:val="left"/>
        <w:textAlignment w:val="baseline"/>
        <w:outlineLvl w:val="0"/>
        <w:rPr>
          <w:rFonts w:ascii="黑体" w:hAnsi="宋体" w:eastAsia="黑体" w:cs="黑体"/>
          <w:bCs/>
          <w:snapToGrid w:val="0"/>
          <w:color w:val="000000"/>
          <w:kern w:val="0"/>
          <w:sz w:val="32"/>
          <w:szCs w:val="32"/>
          <w:lang w:bidi="ar"/>
        </w:rPr>
      </w:pPr>
      <w:r>
        <w:rPr>
          <w:rFonts w:hint="eastAsia" w:ascii="黑体" w:hAnsi="宋体" w:eastAsia="黑体" w:cs="黑体"/>
          <w:bCs/>
          <w:snapToGrid w:val="0"/>
          <w:color w:val="000000"/>
          <w:kern w:val="0"/>
          <w:sz w:val="32"/>
          <w:szCs w:val="32"/>
          <w:lang w:bidi="ar"/>
        </w:rPr>
        <w:t>绩效目标分解下达情况</w:t>
      </w:r>
    </w:p>
    <w:p w14:paraId="766C628D">
      <w:pPr>
        <w:pStyle w:val="7"/>
        <w:widowControl/>
        <w:kinsoku w:val="0"/>
        <w:autoSpaceDE w:val="0"/>
        <w:autoSpaceDN w:val="0"/>
        <w:adjustRightInd w:val="0"/>
        <w:snapToGrid w:val="0"/>
        <w:spacing w:line="580" w:lineRule="exact"/>
        <w:ind w:firstLine="640" w:firstLineChars="200"/>
        <w:jc w:val="left"/>
        <w:textAlignment w:val="baseline"/>
        <w:rPr>
          <w:rFonts w:ascii="楷体_GB2312" w:hAnsi="楷体_GB2312" w:eastAsia="楷体_GB2312" w:cs="楷体_GB2312"/>
          <w:bCs/>
          <w:snapToGrid w:val="0"/>
          <w:color w:val="000000"/>
          <w:sz w:val="32"/>
          <w:szCs w:val="32"/>
          <w:lang w:bidi="ar"/>
        </w:rPr>
      </w:pPr>
      <w:r>
        <w:rPr>
          <w:rFonts w:hint="eastAsia" w:ascii="楷体_GB2312" w:hAnsi="楷体_GB2312" w:eastAsia="楷体_GB2312" w:cs="楷体_GB2312"/>
          <w:bCs/>
          <w:snapToGrid w:val="0"/>
          <w:color w:val="000000"/>
          <w:sz w:val="32"/>
          <w:szCs w:val="32"/>
          <w:lang w:bidi="ar"/>
        </w:rPr>
        <w:t>（一）2023年度转移支付资金下达情况</w:t>
      </w:r>
    </w:p>
    <w:p w14:paraId="653EEB99">
      <w:pPr>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北京市2023年计划生育补助资金转移支付项目补助资金共计4092万元，分两次下达：依据《财政部 国家卫生健康委关于提前下达2023年计划生育转移支付资金预算的通知》（财社〔2022〕133号）文件，提前下达2023年计划生育补助资金转移支付3,334万元；依据《财政部 国家卫生健康委关于下达2023年计划生育转移支付资金预算的通知》（财社〔2023〕37号）文件，下达2023年计划生育补助资金转移支付758万元。</w:t>
      </w:r>
    </w:p>
    <w:p w14:paraId="2B9B52A0">
      <w:pPr>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北京市财政局根据北京市卫生健康委员会的分配方案及资金额度情况，分4次下达资金：依据《北京市财政局关于提前下达各区2023年中央转移支付计划生育补助资金（直达资金）的通知》（京财社指〔2022〕2848号）文件，提前下达2023年计划生育补助资金转移支付3,334万元；依据《北京市财政局关于下达2023年计划生育中央转移支付资金的通知》（京财社指〔2023〕1226号）文件，下达2023年计划生育补助资金转移支付758万元。依据《北京市财政局关于提前下达各区2023年医疗卫生领域共同事权转移支付预算的通知》（京财社指〔2022〕2248号)，下达计划生育补助资金转移支付的市级配套资金51,451.04万元；依据《北京市财政局关于下达各区2023年市对区转移支付计划生育补助资金(第二批)的通知》（京财社指〔2023〕1066号）下达计划生育补助资金转移支付的市级配套资金12,537.89万元。</w:t>
      </w:r>
    </w:p>
    <w:p w14:paraId="7967D7E8">
      <w:pPr>
        <w:pStyle w:val="7"/>
        <w:widowControl/>
        <w:kinsoku w:val="0"/>
        <w:autoSpaceDE w:val="0"/>
        <w:autoSpaceDN w:val="0"/>
        <w:adjustRightInd w:val="0"/>
        <w:snapToGrid w:val="0"/>
        <w:spacing w:line="580" w:lineRule="exact"/>
        <w:ind w:firstLine="640" w:firstLineChars="200"/>
        <w:jc w:val="left"/>
        <w:textAlignment w:val="baseline"/>
        <w:rPr>
          <w:rFonts w:ascii="楷体_GB2312" w:hAnsi="楷体_GB2312" w:eastAsia="楷体_GB2312" w:cs="楷体_GB2312"/>
          <w:bCs/>
          <w:snapToGrid w:val="0"/>
          <w:color w:val="000000"/>
          <w:sz w:val="32"/>
          <w:szCs w:val="32"/>
          <w:lang w:bidi="ar"/>
        </w:rPr>
      </w:pPr>
      <w:r>
        <w:rPr>
          <w:rFonts w:hint="eastAsia" w:ascii="楷体_GB2312" w:hAnsi="楷体_GB2312" w:eastAsia="楷体_GB2312" w:cs="楷体_GB2312"/>
          <w:bCs/>
          <w:snapToGrid w:val="0"/>
          <w:color w:val="000000"/>
          <w:sz w:val="32"/>
          <w:szCs w:val="32"/>
          <w:lang w:bidi="ar"/>
        </w:rPr>
        <w:t>（</w:t>
      </w:r>
      <w:r>
        <w:rPr>
          <w:rFonts w:hint="eastAsia" w:ascii="楷体_GB2312" w:hAnsi="楷体_GB2312" w:eastAsia="楷体_GB2312" w:cs="楷体_GB2312"/>
          <w:bCs/>
          <w:snapToGrid w:val="0"/>
          <w:color w:val="000000"/>
          <w:sz w:val="32"/>
          <w:szCs w:val="32"/>
          <w:lang w:val="en-US" w:eastAsia="zh-CN" w:bidi="ar"/>
        </w:rPr>
        <w:t>二</w:t>
      </w:r>
      <w:r>
        <w:rPr>
          <w:rFonts w:hint="eastAsia" w:ascii="楷体_GB2312" w:hAnsi="楷体_GB2312" w:eastAsia="楷体_GB2312" w:cs="楷体_GB2312"/>
          <w:bCs/>
          <w:snapToGrid w:val="0"/>
          <w:color w:val="000000"/>
          <w:sz w:val="32"/>
          <w:szCs w:val="32"/>
          <w:lang w:bidi="ar"/>
        </w:rPr>
        <w:t>）2023年度转移支付资金</w:t>
      </w:r>
      <w:r>
        <w:rPr>
          <w:rFonts w:hint="eastAsia" w:ascii="楷体_GB2312" w:hAnsi="楷体_GB2312" w:eastAsia="楷体_GB2312" w:cs="楷体_GB2312"/>
          <w:bCs/>
          <w:snapToGrid w:val="0"/>
          <w:color w:val="000000"/>
          <w:sz w:val="32"/>
          <w:szCs w:val="32"/>
          <w:lang w:val="en-US" w:eastAsia="zh-CN" w:bidi="ar"/>
        </w:rPr>
        <w:t>分配</w:t>
      </w:r>
      <w:r>
        <w:rPr>
          <w:rFonts w:hint="eastAsia" w:ascii="楷体_GB2312" w:hAnsi="楷体_GB2312" w:eastAsia="楷体_GB2312" w:cs="楷体_GB2312"/>
          <w:bCs/>
          <w:snapToGrid w:val="0"/>
          <w:color w:val="000000"/>
          <w:sz w:val="32"/>
          <w:szCs w:val="32"/>
          <w:lang w:bidi="ar"/>
        </w:rPr>
        <w:t>情况</w:t>
      </w:r>
    </w:p>
    <w:p w14:paraId="10757CAA">
      <w:pPr>
        <w:pStyle w:val="6"/>
        <w:widowControl w:val="0"/>
        <w:kinsoku/>
        <w:autoSpaceDE/>
        <w:autoSpaceDN/>
        <w:adjustRightInd/>
        <w:snapToGrid/>
        <w:spacing w:after="0" w:line="240" w:lineRule="auto"/>
        <w:jc w:val="both"/>
        <w:textAlignment w:val="auto"/>
        <w:rPr>
          <w:rFonts w:hint="eastAsia" w:ascii="仿宋_GB2312" w:hAnsi="仿宋_GB2312" w:eastAsia="仿宋_GB2312" w:cs="仿宋_GB2312"/>
          <w:snapToGrid/>
          <w:kern w:val="2"/>
          <w:sz w:val="24"/>
          <w:szCs w:val="24"/>
          <w:lang w:val="en-US" w:eastAsia="zh-CN"/>
        </w:rPr>
      </w:pPr>
      <w:r>
        <w:rPr>
          <w:rFonts w:hint="eastAsia" w:ascii="仿宋_GB2312" w:hAnsi="仿宋_GB2312" w:eastAsia="仿宋_GB2312" w:cs="仿宋_GB2312"/>
          <w:sz w:val="32"/>
          <w:szCs w:val="32"/>
          <w:lang w:bidi="ar"/>
        </w:rPr>
        <w:t>北京市2023年计划生育补助资金项目涉及东城区卫生健康委员会、西城区卫生健康委员会、朝阳区卫生健康委员会、丰台区卫生健康委员会、石景山区卫生健康委员会、海淀区卫生健康委员会、门头沟区卫生健康委员会、房山区卫生健康委员会、通州区卫生健康委员会、顺义区卫生健康委员会、昌平区卫生健康委员会、大兴区卫生健康委员会、怀柔区卫生健康委员会、平谷区卫生健康委员会、密云区卫生健康委员会、延庆区卫生健康委员会等16个区卫生健康委员会，资金总额83,144.75万元，其中中央财政资金4,092万元，地方配套资金77,756.34万元（其中市级配套资金63,988.93万元，区级配套资金13</w:t>
      </w:r>
      <w:r>
        <w:rPr>
          <w:rFonts w:hint="eastAsia" w:ascii="仿宋_GB2312" w:hAnsi="仿宋_GB2312" w:eastAsia="仿宋_GB2312" w:cs="仿宋_GB2312"/>
          <w:sz w:val="32"/>
          <w:szCs w:val="32"/>
          <w:lang w:val="en-US" w:eastAsia="zh-CN" w:bidi="ar"/>
        </w:rPr>
        <w:t>,</w:t>
      </w:r>
      <w:r>
        <w:rPr>
          <w:rFonts w:hint="eastAsia" w:ascii="仿宋_GB2312" w:hAnsi="仿宋_GB2312" w:eastAsia="仿宋_GB2312" w:cs="仿宋_GB2312"/>
          <w:sz w:val="32"/>
          <w:szCs w:val="32"/>
          <w:lang w:bidi="ar"/>
        </w:rPr>
        <w:t>767.41万元）、其他资金1,296.41万元。</w:t>
      </w:r>
    </w:p>
    <w:p w14:paraId="379DCDD5">
      <w:pPr>
        <w:pStyle w:val="7"/>
        <w:widowControl/>
        <w:kinsoku w:val="0"/>
        <w:autoSpaceDE w:val="0"/>
        <w:autoSpaceDN w:val="0"/>
        <w:adjustRightInd w:val="0"/>
        <w:snapToGrid w:val="0"/>
        <w:spacing w:line="580" w:lineRule="exact"/>
        <w:ind w:firstLine="640" w:firstLineChars="200"/>
        <w:jc w:val="left"/>
        <w:textAlignment w:val="baseline"/>
        <w:rPr>
          <w:rFonts w:ascii="楷体_GB2312" w:hAnsi="楷体_GB2312" w:eastAsia="楷体_GB2312" w:cs="楷体_GB2312"/>
          <w:bCs/>
          <w:snapToGrid w:val="0"/>
          <w:color w:val="000000"/>
          <w:sz w:val="32"/>
          <w:szCs w:val="32"/>
          <w:lang w:bidi="ar"/>
        </w:rPr>
      </w:pPr>
      <w:r>
        <w:rPr>
          <w:rFonts w:hint="eastAsia" w:ascii="楷体_GB2312" w:hAnsi="楷体_GB2312" w:eastAsia="楷体_GB2312" w:cs="楷体_GB2312"/>
          <w:bCs/>
          <w:snapToGrid w:val="0"/>
          <w:color w:val="000000"/>
          <w:sz w:val="32"/>
          <w:szCs w:val="32"/>
          <w:lang w:bidi="ar"/>
        </w:rPr>
        <w:t>（</w:t>
      </w:r>
      <w:r>
        <w:rPr>
          <w:rFonts w:hint="eastAsia" w:ascii="楷体_GB2312" w:hAnsi="楷体_GB2312" w:eastAsia="楷体_GB2312" w:cs="楷体_GB2312"/>
          <w:bCs/>
          <w:snapToGrid w:val="0"/>
          <w:color w:val="000000"/>
          <w:sz w:val="32"/>
          <w:szCs w:val="32"/>
          <w:lang w:val="en-US" w:eastAsia="zh-CN" w:bidi="ar"/>
        </w:rPr>
        <w:t>三</w:t>
      </w:r>
      <w:r>
        <w:rPr>
          <w:rFonts w:hint="eastAsia" w:ascii="楷体_GB2312" w:hAnsi="楷体_GB2312" w:eastAsia="楷体_GB2312" w:cs="楷体_GB2312"/>
          <w:bCs/>
          <w:snapToGrid w:val="0"/>
          <w:color w:val="000000"/>
          <w:sz w:val="32"/>
          <w:szCs w:val="32"/>
          <w:lang w:bidi="ar"/>
        </w:rPr>
        <w:t>）转移支付资金</w:t>
      </w:r>
      <w:r>
        <w:rPr>
          <w:rFonts w:hint="eastAsia" w:ascii="楷体_GB2312" w:hAnsi="楷体_GB2312" w:eastAsia="楷体_GB2312" w:cs="楷体_GB2312"/>
          <w:bCs/>
          <w:snapToGrid w:val="0"/>
          <w:color w:val="000000"/>
          <w:sz w:val="32"/>
          <w:szCs w:val="32"/>
          <w:lang w:val="en-US" w:eastAsia="zh-CN" w:bidi="ar"/>
        </w:rPr>
        <w:t>项目任务</w:t>
      </w:r>
      <w:r>
        <w:rPr>
          <w:rFonts w:hint="eastAsia" w:ascii="楷体_GB2312" w:hAnsi="楷体_GB2312" w:eastAsia="楷体_GB2312" w:cs="楷体_GB2312"/>
          <w:bCs/>
          <w:snapToGrid w:val="0"/>
          <w:color w:val="000000"/>
          <w:sz w:val="32"/>
          <w:szCs w:val="32"/>
          <w:lang w:bidi="ar"/>
        </w:rPr>
        <w:t>情况</w:t>
      </w:r>
    </w:p>
    <w:p w14:paraId="75A44AB9">
      <w:pPr>
        <w:pStyle w:val="2"/>
        <w:spacing w:line="580" w:lineRule="exact"/>
        <w:ind w:firstLine="640" w:firstLineChars="200"/>
        <w:rPr>
          <w:sz w:val="32"/>
          <w:szCs w:val="32"/>
        </w:rPr>
      </w:pPr>
      <w:r>
        <w:rPr>
          <w:rFonts w:hint="eastAsia" w:ascii="仿宋_GB2312" w:hAnsi="仿宋_GB2312" w:eastAsia="仿宋_GB2312" w:cs="仿宋_GB2312"/>
          <w:sz w:val="32"/>
          <w:szCs w:val="32"/>
          <w:lang w:bidi="ar"/>
        </w:rPr>
        <w:t>根据《财政部 国家卫生健康委关于提前下达2023年计划生育转移支付资金预算的通知》（财社〔2022〕133号）、《财政部 国家卫生健康委关于下达2023年计划生育转移支付资金预算的通知》（财社〔2023〕37号）文件，财政部和国家卫生健康委共同下达2023年计划生育补助资金转移支付项目资金</w:t>
      </w:r>
      <w:r>
        <w:rPr>
          <w:rFonts w:hint="eastAsia" w:ascii="仿宋_GB2312" w:hAnsi="仿宋_GB2312" w:eastAsia="仿宋_GB2312" w:cs="仿宋_GB2312"/>
          <w:sz w:val="32"/>
          <w:szCs w:val="32"/>
          <w:lang w:val="en-US" w:eastAsia="zh-CN" w:bidi="ar"/>
        </w:rPr>
        <w:t>总体任务</w:t>
      </w:r>
      <w:r>
        <w:rPr>
          <w:rFonts w:hint="eastAsia" w:ascii="仿宋_GB2312" w:hAnsi="仿宋_GB2312" w:eastAsia="仿宋_GB2312" w:cs="仿宋_GB2312"/>
          <w:sz w:val="32"/>
          <w:szCs w:val="32"/>
          <w:lang w:bidi="ar"/>
        </w:rPr>
        <w:t>目标，北京市卫生健康委根据实际情况将年度绩效目标</w:t>
      </w:r>
      <w:r>
        <w:rPr>
          <w:rFonts w:hint="eastAsia" w:ascii="仿宋_GB2312" w:hAnsi="仿宋_GB2312" w:eastAsia="仿宋_GB2312" w:cs="仿宋_GB2312"/>
          <w:sz w:val="32"/>
          <w:szCs w:val="32"/>
          <w:lang w:val="en-US" w:eastAsia="zh-CN" w:bidi="ar"/>
        </w:rPr>
        <w:t>进行科学细化，本项目绩效目标共12个，包括10个产出指标，2个效益指标</w:t>
      </w:r>
      <w:r>
        <w:rPr>
          <w:rFonts w:hint="eastAsia" w:ascii="仿宋_GB2312" w:hAnsi="仿宋_GB2312" w:cs="仿宋_GB2312"/>
          <w:sz w:val="32"/>
          <w:szCs w:val="32"/>
          <w:lang w:bidi="ar"/>
        </w:rPr>
        <w:t>。</w:t>
      </w:r>
    </w:p>
    <w:p w14:paraId="74FFCF3C">
      <w:pPr>
        <w:widowControl/>
        <w:kinsoku w:val="0"/>
        <w:autoSpaceDE w:val="0"/>
        <w:autoSpaceDN w:val="0"/>
        <w:adjustRightInd w:val="0"/>
        <w:snapToGrid w:val="0"/>
        <w:spacing w:line="580" w:lineRule="exact"/>
        <w:ind w:firstLine="620" w:firstLineChars="200"/>
        <w:jc w:val="left"/>
        <w:textAlignment w:val="baseline"/>
        <w:outlineLvl w:val="1"/>
        <w:rPr>
          <w:rFonts w:ascii="黑体" w:hAnsi="黑体" w:eastAsia="黑体" w:cs="黑体"/>
          <w:bCs/>
          <w:snapToGrid w:val="0"/>
          <w:color w:val="000000"/>
          <w:spacing w:val="-5"/>
          <w:kern w:val="0"/>
          <w:sz w:val="32"/>
          <w:szCs w:val="32"/>
        </w:rPr>
      </w:pPr>
      <w:bookmarkStart w:id="0" w:name="bookmark40"/>
      <w:r>
        <w:rPr>
          <w:rFonts w:hint="eastAsia" w:ascii="黑体" w:hAnsi="黑体" w:eastAsia="黑体" w:cs="黑体"/>
          <w:bCs/>
          <w:snapToGrid w:val="0"/>
          <w:color w:val="000000"/>
          <w:spacing w:val="-5"/>
          <w:kern w:val="0"/>
          <w:sz w:val="32"/>
          <w:szCs w:val="32"/>
        </w:rPr>
        <w:t>二</w:t>
      </w:r>
      <w:bookmarkEnd w:id="0"/>
      <w:r>
        <w:rPr>
          <w:rFonts w:hint="eastAsia" w:ascii="黑体" w:hAnsi="黑体" w:eastAsia="黑体" w:cs="黑体"/>
          <w:bCs/>
          <w:snapToGrid w:val="0"/>
          <w:color w:val="000000"/>
          <w:spacing w:val="-5"/>
          <w:kern w:val="0"/>
          <w:sz w:val="32"/>
          <w:szCs w:val="32"/>
        </w:rPr>
        <w:t>、绩效目标完成情况分析</w:t>
      </w:r>
    </w:p>
    <w:p w14:paraId="7DE73DED">
      <w:pPr>
        <w:pStyle w:val="15"/>
        <w:tabs>
          <w:tab w:val="left" w:pos="1676"/>
        </w:tabs>
        <w:spacing w:line="580" w:lineRule="exact"/>
        <w:ind w:firstLine="640" w:firstLineChars="200"/>
        <w:jc w:val="left"/>
        <w:rPr>
          <w:rFonts w:ascii="仿宋_GB2312" w:hAnsi="仿宋_GB2312" w:eastAsia="PMingLiU" w:cs="仿宋_GB2312"/>
          <w:color w:val="000000"/>
          <w:sz w:val="32"/>
          <w:szCs w:val="32"/>
        </w:rPr>
      </w:pPr>
      <w:bookmarkStart w:id="1" w:name="bookmark41"/>
      <w:r>
        <w:rPr>
          <w:rFonts w:hint="eastAsia" w:ascii="楷体_GB2312" w:hAnsi="楷体_GB2312" w:eastAsia="楷体_GB2312" w:cs="楷体_GB2312"/>
          <w:color w:val="000000"/>
          <w:sz w:val="32"/>
          <w:szCs w:val="32"/>
        </w:rPr>
        <w:t>（</w:t>
      </w:r>
      <w:bookmarkEnd w:id="1"/>
      <w:r>
        <w:rPr>
          <w:rFonts w:hint="eastAsia" w:ascii="楷体_GB2312" w:hAnsi="楷体_GB2312" w:eastAsia="楷体_GB2312" w:cs="楷体_GB2312"/>
          <w:color w:val="000000"/>
          <w:sz w:val="32"/>
          <w:szCs w:val="32"/>
        </w:rPr>
        <w:t>一）资金投入情况分析</w:t>
      </w:r>
    </w:p>
    <w:p w14:paraId="5E060F39">
      <w:pPr>
        <w:spacing w:line="580" w:lineRule="exact"/>
        <w:ind w:firstLine="640" w:firstLineChars="200"/>
        <w:rPr>
          <w:rFonts w:hint="eastAsia" w:ascii="仿宋_GB2312" w:hAnsi="仿宋_GB2312" w:eastAsia="仿宋_GB2312" w:cs="仿宋_GB2312"/>
          <w:sz w:val="32"/>
          <w:szCs w:val="32"/>
          <w:lang w:val="en-US" w:eastAsia="zh-CN" w:bidi="ar"/>
        </w:rPr>
      </w:pPr>
      <w:r>
        <w:rPr>
          <w:rFonts w:hint="eastAsia" w:ascii="仿宋_GB2312" w:hAnsi="仿宋_GB2312" w:eastAsia="仿宋_GB2312" w:cs="仿宋_GB2312"/>
          <w:sz w:val="32"/>
          <w:szCs w:val="32"/>
          <w:lang w:bidi="ar"/>
        </w:rPr>
        <w:t>北京市2023年计划生育补助资金项目预算金额共计</w:t>
      </w:r>
      <w:r>
        <w:rPr>
          <w:rFonts w:hint="eastAsia" w:ascii="仿宋_GB2312" w:hAnsi="仿宋_GB2312" w:eastAsia="仿宋_GB2312" w:cs="仿宋_GB2312"/>
          <w:sz w:val="32"/>
          <w:szCs w:val="32"/>
          <w:lang w:eastAsia="zh-CN" w:bidi="ar"/>
        </w:rPr>
        <w:t>83,144.75</w:t>
      </w:r>
      <w:r>
        <w:rPr>
          <w:rFonts w:hint="eastAsia" w:ascii="仿宋_GB2312" w:hAnsi="仿宋_GB2312" w:eastAsia="仿宋_GB2312" w:cs="仿宋_GB2312"/>
          <w:sz w:val="32"/>
          <w:szCs w:val="32"/>
          <w:lang w:bidi="ar"/>
        </w:rPr>
        <w:t>万元，截至2023年12月31日，实际支出金额</w:t>
      </w:r>
      <w:r>
        <w:rPr>
          <w:rFonts w:hint="eastAsia" w:ascii="仿宋_GB2312" w:hAnsi="仿宋_GB2312" w:eastAsia="仿宋_GB2312" w:cs="仿宋_GB2312"/>
          <w:sz w:val="32"/>
          <w:szCs w:val="32"/>
          <w:lang w:eastAsia="zh-CN" w:bidi="ar"/>
        </w:rPr>
        <w:t>80,081.12</w:t>
      </w:r>
      <w:r>
        <w:rPr>
          <w:rFonts w:hint="eastAsia" w:ascii="仿宋_GB2312" w:hAnsi="仿宋_GB2312" w:eastAsia="仿宋_GB2312" w:cs="仿宋_GB2312"/>
          <w:sz w:val="32"/>
          <w:szCs w:val="32"/>
          <w:lang w:bidi="ar"/>
        </w:rPr>
        <w:t>万元，资金执行率为</w:t>
      </w:r>
      <w:r>
        <w:rPr>
          <w:rFonts w:hint="eastAsia" w:ascii="仿宋_GB2312" w:hAnsi="仿宋_GB2312" w:eastAsia="仿宋_GB2312" w:cs="仿宋_GB2312"/>
          <w:sz w:val="32"/>
          <w:szCs w:val="32"/>
          <w:lang w:eastAsia="zh-CN" w:bidi="ar"/>
        </w:rPr>
        <w:t>96.32%</w:t>
      </w:r>
      <w:r>
        <w:rPr>
          <w:rFonts w:hint="eastAsia" w:ascii="仿宋_GB2312" w:hAnsi="仿宋_GB2312" w:eastAsia="仿宋_GB2312" w:cs="仿宋_GB2312"/>
          <w:sz w:val="32"/>
          <w:szCs w:val="32"/>
          <w:lang w:bidi="ar"/>
        </w:rPr>
        <w:t>。其中：中央财政资金预算4,092万元，实际支出4,080万元，资金执行率为99.71%；地方资金预算</w:t>
      </w:r>
      <w:r>
        <w:rPr>
          <w:rFonts w:hint="eastAsia" w:ascii="仿宋_GB2312" w:hAnsi="仿宋_GB2312" w:eastAsia="仿宋_GB2312" w:cs="仿宋_GB2312"/>
          <w:sz w:val="32"/>
          <w:szCs w:val="32"/>
          <w:lang w:eastAsia="zh-CN" w:bidi="ar"/>
        </w:rPr>
        <w:t>77,756.34</w:t>
      </w:r>
      <w:r>
        <w:rPr>
          <w:rFonts w:hint="eastAsia" w:ascii="仿宋_GB2312" w:hAnsi="仿宋_GB2312" w:eastAsia="仿宋_GB2312" w:cs="仿宋_GB2312"/>
          <w:sz w:val="32"/>
          <w:szCs w:val="32"/>
          <w:lang w:bidi="ar"/>
        </w:rPr>
        <w:t>万元（其中市级配套资金63,988.93万元，区级配套资金</w:t>
      </w:r>
      <w:r>
        <w:rPr>
          <w:rFonts w:hint="eastAsia" w:ascii="仿宋_GB2312" w:hAnsi="仿宋_GB2312" w:eastAsia="仿宋_GB2312" w:cs="仿宋_GB2312"/>
          <w:sz w:val="32"/>
          <w:szCs w:val="32"/>
          <w:lang w:eastAsia="zh-CN" w:bidi="ar"/>
        </w:rPr>
        <w:t>13,767.41</w:t>
      </w:r>
      <w:r>
        <w:rPr>
          <w:rFonts w:hint="eastAsia" w:ascii="仿宋_GB2312" w:hAnsi="仿宋_GB2312" w:eastAsia="仿宋_GB2312" w:cs="仿宋_GB2312"/>
          <w:sz w:val="32"/>
          <w:szCs w:val="32"/>
          <w:lang w:bidi="ar"/>
        </w:rPr>
        <w:t>万元），实际支出</w:t>
      </w:r>
      <w:r>
        <w:rPr>
          <w:rFonts w:hint="eastAsia" w:ascii="仿宋_GB2312" w:hAnsi="仿宋_GB2312" w:eastAsia="仿宋_GB2312" w:cs="仿宋_GB2312"/>
          <w:sz w:val="32"/>
          <w:szCs w:val="32"/>
          <w:lang w:eastAsia="zh-CN" w:bidi="ar"/>
        </w:rPr>
        <w:t>74,704.71</w:t>
      </w:r>
      <w:r>
        <w:rPr>
          <w:rFonts w:hint="eastAsia" w:ascii="仿宋_GB2312" w:hAnsi="仿宋_GB2312" w:eastAsia="仿宋_GB2312" w:cs="仿宋_GB2312"/>
          <w:sz w:val="32"/>
          <w:szCs w:val="32"/>
          <w:lang w:bidi="ar"/>
        </w:rPr>
        <w:t>万元（其中市级配套资金62,208.60万元，区级配套资金</w:t>
      </w:r>
      <w:r>
        <w:rPr>
          <w:rFonts w:hint="eastAsia" w:ascii="仿宋_GB2312" w:hAnsi="仿宋_GB2312" w:eastAsia="仿宋_GB2312" w:cs="仿宋_GB2312"/>
          <w:sz w:val="32"/>
          <w:szCs w:val="32"/>
          <w:lang w:eastAsia="zh-CN" w:bidi="ar"/>
        </w:rPr>
        <w:t>12,496.11</w:t>
      </w:r>
      <w:r>
        <w:rPr>
          <w:rFonts w:hint="eastAsia" w:ascii="仿宋_GB2312" w:hAnsi="仿宋_GB2312" w:eastAsia="仿宋_GB2312" w:cs="仿宋_GB2312"/>
          <w:sz w:val="32"/>
          <w:szCs w:val="32"/>
          <w:lang w:bidi="ar"/>
        </w:rPr>
        <w:t>万元），资金执行率为</w:t>
      </w:r>
      <w:r>
        <w:rPr>
          <w:rFonts w:hint="eastAsia" w:ascii="仿宋_GB2312" w:hAnsi="仿宋_GB2312" w:eastAsia="仿宋_GB2312" w:cs="仿宋_GB2312"/>
          <w:sz w:val="32"/>
          <w:szCs w:val="32"/>
          <w:lang w:eastAsia="zh-CN" w:bidi="ar"/>
        </w:rPr>
        <w:t>96.08%</w:t>
      </w:r>
      <w:r>
        <w:rPr>
          <w:rFonts w:hint="eastAsia" w:ascii="仿宋_GB2312" w:hAnsi="仿宋_GB2312" w:eastAsia="仿宋_GB2312" w:cs="仿宋_GB2312"/>
          <w:sz w:val="32"/>
          <w:szCs w:val="32"/>
          <w:lang w:bidi="ar"/>
        </w:rPr>
        <w:t>（其中市级配套资金执行率为97.22%，区级配套资金执行率为</w:t>
      </w:r>
      <w:r>
        <w:rPr>
          <w:rFonts w:hint="eastAsia" w:ascii="仿宋_GB2312" w:hAnsi="仿宋_GB2312" w:eastAsia="仿宋_GB2312" w:cs="仿宋_GB2312"/>
          <w:sz w:val="32"/>
          <w:szCs w:val="32"/>
          <w:lang w:eastAsia="zh-CN" w:bidi="ar"/>
        </w:rPr>
        <w:t>90.77%</w:t>
      </w:r>
      <w:r>
        <w:rPr>
          <w:rFonts w:hint="eastAsia" w:ascii="仿宋_GB2312" w:hAnsi="仿宋_GB2312" w:eastAsia="仿宋_GB2312" w:cs="仿宋_GB2312"/>
          <w:sz w:val="32"/>
          <w:szCs w:val="32"/>
          <w:lang w:bidi="ar"/>
        </w:rPr>
        <w:t>）；其他资金预算1,296.41万元，实际支出1,296.41万元，资金执行率为100%</w:t>
      </w:r>
      <w:r>
        <w:rPr>
          <w:rFonts w:hint="eastAsia" w:ascii="仿宋_GB2312" w:hAnsi="仿宋_GB2312" w:eastAsia="仿宋_GB2312" w:cs="仿宋_GB2312"/>
          <w:sz w:val="32"/>
          <w:szCs w:val="32"/>
          <w:lang w:val="en-US" w:eastAsia="zh-CN" w:bidi="ar"/>
        </w:rPr>
        <w:t>。</w:t>
      </w:r>
      <w:bookmarkStart w:id="2" w:name="bookmark42"/>
    </w:p>
    <w:p w14:paraId="20FCD88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ascii="仿宋_GB2312" w:hAnsi="仿宋_GB2312" w:eastAsia="仿宋_GB2312" w:cs="仿宋_GB2312"/>
          <w:color w:val="000000"/>
          <w:sz w:val="32"/>
          <w:szCs w:val="32"/>
        </w:rPr>
      </w:pPr>
      <w:r>
        <w:rPr>
          <w:rFonts w:hint="eastAsia" w:ascii="楷体_GB2312" w:hAnsi="楷体_GB2312" w:eastAsia="楷体_GB2312" w:cs="楷体_GB2312"/>
          <w:color w:val="000000"/>
          <w:sz w:val="32"/>
          <w:szCs w:val="32"/>
        </w:rPr>
        <w:t>（二）资金管理情况分析</w:t>
      </w:r>
    </w:p>
    <w:p w14:paraId="18F9B867">
      <w:pPr>
        <w:widowControl/>
        <w:spacing w:line="580" w:lineRule="exact"/>
        <w:ind w:firstLine="640" w:firstLineChars="200"/>
        <w:rPr>
          <w:rFonts w:ascii="仿宋_GB2312" w:hAnsi="仿宋" w:eastAsia="仿宋_GB2312" w:cs="Times New Roman"/>
          <w:sz w:val="32"/>
          <w:szCs w:val="32"/>
          <w:lang w:bidi="ar"/>
        </w:rPr>
      </w:pPr>
      <w:r>
        <w:rPr>
          <w:rFonts w:hint="eastAsia" w:ascii="仿宋_GB2312" w:hAnsi="仿宋" w:eastAsia="仿宋_GB2312" w:cs="Times New Roman"/>
          <w:sz w:val="32"/>
          <w:szCs w:val="32"/>
          <w:lang w:bidi="ar"/>
        </w:rPr>
        <w:t>1.资金分配科学性</w:t>
      </w:r>
    </w:p>
    <w:p w14:paraId="1AEFC945">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北京市卫生健康委员会根据收到中央转移支付资金4,092万元和市对区转移支付资金63,988.93万元，根据《计划生育转移支付资金管理办法》，按照行政区划因素、人口因素和绩效因素分配转移支付资金到16个区卫生健康委员会。</w:t>
      </w:r>
    </w:p>
    <w:p w14:paraId="0068780B">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各区卫生健康委员会根据《计划生育转移支付资金管理办法》，按照</w:t>
      </w:r>
      <w:r>
        <w:rPr>
          <w:rFonts w:hint="eastAsia" w:ascii="仿宋_GB2312" w:hAnsi="仿宋_GB2312" w:eastAsia="仿宋_GB2312" w:cs="仿宋_GB2312"/>
          <w:sz w:val="32"/>
          <w:szCs w:val="32"/>
          <w:lang w:val="en-US" w:eastAsia="zh-CN" w:bidi="ar"/>
        </w:rPr>
        <w:t>农村部分计划生育家庭奖励扶助和计划生育家庭特别扶助</w:t>
      </w:r>
      <w:r>
        <w:rPr>
          <w:rFonts w:hint="eastAsia" w:ascii="仿宋_GB2312" w:hAnsi="仿宋_GB2312" w:eastAsia="仿宋_GB2312" w:cs="仿宋_GB2312"/>
          <w:sz w:val="32"/>
          <w:szCs w:val="32"/>
          <w:lang w:bidi="ar"/>
        </w:rPr>
        <w:t>目标人群数量、国家基础标准</w:t>
      </w:r>
      <w:r>
        <w:rPr>
          <w:rFonts w:hint="eastAsia" w:ascii="仿宋_GB2312" w:hAnsi="仿宋_GB2312" w:eastAsia="仿宋_GB2312" w:cs="仿宋_GB2312"/>
          <w:sz w:val="32"/>
          <w:szCs w:val="32"/>
          <w:lang w:val="en-US" w:eastAsia="zh-CN" w:bidi="ar"/>
        </w:rPr>
        <w:t>以及</w:t>
      </w:r>
      <w:r>
        <w:rPr>
          <w:rFonts w:hint="eastAsia" w:ascii="仿宋_GB2312" w:hAnsi="仿宋_GB2312" w:eastAsia="仿宋_GB2312" w:cs="仿宋_GB2312"/>
          <w:sz w:val="32"/>
          <w:szCs w:val="32"/>
          <w:lang w:bidi="ar"/>
        </w:rPr>
        <w:t>中央与地方分担比例等因素,制定了计划生育补助资金项目实施方案和资金分配方案。</w:t>
      </w:r>
    </w:p>
    <w:p w14:paraId="7D60A02E">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2023年计划生育转移支付资金项目在资金分配时能够充分考虑任务量、人口因素。结合各地、各有关单位工作实际，遵循填平补齐，避免重复的原则，较为科学合理。</w:t>
      </w:r>
    </w:p>
    <w:p w14:paraId="55B0FF90">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2.资金下达及时性</w:t>
      </w:r>
    </w:p>
    <w:p w14:paraId="3DA076FC">
      <w:pPr>
        <w:widowControl/>
        <w:spacing w:line="580" w:lineRule="exact"/>
        <w:ind w:firstLine="640" w:firstLineChars="200"/>
        <w:rPr>
          <w:sz w:val="32"/>
          <w:szCs w:val="32"/>
        </w:rPr>
      </w:pPr>
      <w:r>
        <w:rPr>
          <w:rFonts w:hint="eastAsia" w:ascii="仿宋_GB2312" w:hAnsi="楷体" w:eastAsia="仿宋_GB2312" w:cs="仿宋_GB2312"/>
          <w:bCs/>
          <w:sz w:val="32"/>
          <w:szCs w:val="32"/>
          <w:lang w:bidi="ar"/>
        </w:rPr>
        <w:t>北京市卫生健康委员会制定资金分配方案后，严格按照预算法及其实施条例，向北京市财政局提出申请，北京市财政局</w:t>
      </w:r>
      <w:r>
        <w:rPr>
          <w:rFonts w:hint="eastAsia" w:ascii="仿宋_GB2312" w:hAnsi="仿宋_GB2312" w:eastAsia="仿宋_GB2312" w:cs="仿宋_GB2312"/>
          <w:bCs/>
          <w:sz w:val="32"/>
          <w:szCs w:val="32"/>
        </w:rPr>
        <w:t>分别于2022年12月27日印发</w:t>
      </w:r>
      <w:r>
        <w:rPr>
          <w:rFonts w:hint="eastAsia" w:ascii="仿宋_GB2312" w:hAnsi="仿宋_GB2312" w:eastAsia="仿宋_GB2312" w:cs="仿宋_GB2312"/>
          <w:sz w:val="32"/>
          <w:szCs w:val="32"/>
          <w:lang w:bidi="ar"/>
        </w:rPr>
        <w:t>《北京市财政局关于提前下达各区2023年中央转移支付计划生育补助资金（直达资金）的通知》（京财社指〔2022〕2848号）</w:t>
      </w:r>
      <w:r>
        <w:rPr>
          <w:rFonts w:hint="eastAsia" w:ascii="仿宋_GB2312" w:hAnsi="仿宋_GB2312" w:eastAsia="仿宋_GB2312" w:cs="仿宋_GB2312"/>
          <w:bCs/>
          <w:sz w:val="32"/>
          <w:szCs w:val="32"/>
        </w:rPr>
        <w:t>，2023年6月6日印发</w:t>
      </w:r>
      <w:r>
        <w:rPr>
          <w:rFonts w:hint="eastAsia" w:ascii="仿宋_GB2312" w:hAnsi="仿宋_GB2312" w:eastAsia="仿宋_GB2312" w:cs="仿宋_GB2312"/>
          <w:sz w:val="32"/>
          <w:szCs w:val="32"/>
          <w:lang w:bidi="ar"/>
        </w:rPr>
        <w:t>《北京市财政局关于下达2023年计划生育中央转移支付资金的通知》（京财社指〔2023〕1226号），</w:t>
      </w:r>
      <w:r>
        <w:rPr>
          <w:rFonts w:hint="eastAsia" w:ascii="仿宋_GB2312" w:hAnsi="楷体" w:eastAsia="仿宋_GB2312" w:cs="仿宋_GB2312"/>
          <w:bCs/>
          <w:sz w:val="32"/>
          <w:szCs w:val="32"/>
          <w:lang w:bidi="ar"/>
        </w:rPr>
        <w:t>符合《财政部 国家卫生健康委 国家医保局 国家中医药局 国家疾控局关于修订基本公共卫生服务等5项补助资金管理办法的通知》(财社〔2022〕31号）中</w:t>
      </w:r>
      <w:r>
        <w:rPr>
          <w:rFonts w:hint="eastAsia" w:ascii="仿宋_GB2312" w:hAnsi="仿宋_GB2312" w:eastAsia="仿宋_GB2312" w:cs="仿宋_GB2312"/>
          <w:bCs/>
          <w:sz w:val="32"/>
          <w:szCs w:val="32"/>
        </w:rPr>
        <w:t>《计划生育转移支付资金管理办法》要求，在收到资金的30个工作日内拨付资金到各区财政局，资金下达较为及时。</w:t>
      </w:r>
    </w:p>
    <w:p w14:paraId="726282E5">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3.资金拨付合规性</w:t>
      </w:r>
    </w:p>
    <w:p w14:paraId="06D38B46">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2023年北京市计划生育补助资金转移支付项目严格按照北京市国库集中支付制度有关规定支付资金，未出现违规将资金从国库转入财政专户或支付到预算单位实有资金账户等问题。</w:t>
      </w:r>
    </w:p>
    <w:p w14:paraId="04598D31">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4.资金使用规范性</w:t>
      </w:r>
    </w:p>
    <w:p w14:paraId="7107FFEE">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2023年北京市计划生育补助资金转移支付项目根据《财政部 国家卫生健康委关于提前下达2023年计划生育转移支付资金预算的通知》（财社〔2022〕133号）、《财政部 国家卫生健康委关于下达2023年计划生育转移支付资金预算的通知》（财社〔2023〕37号）和</w:t>
      </w:r>
      <w:r>
        <w:rPr>
          <w:rFonts w:hint="eastAsia" w:ascii="仿宋_GB2312" w:hAnsi="仿宋_GB2312" w:eastAsia="仿宋_GB2312" w:cs="仿宋_GB2312"/>
          <w:bCs/>
          <w:sz w:val="32"/>
          <w:szCs w:val="32"/>
        </w:rPr>
        <w:t>《计划生育转移支付资金管理办法》</w:t>
      </w:r>
      <w:r>
        <w:rPr>
          <w:rFonts w:hint="eastAsia" w:ascii="仿宋_GB2312" w:hAnsi="仿宋_GB2312" w:eastAsia="仿宋_GB2312" w:cs="仿宋_GB2312"/>
          <w:sz w:val="32"/>
          <w:szCs w:val="32"/>
          <w:lang w:bidi="ar"/>
        </w:rPr>
        <w:t>的要求，按照各个资金使用单位的项目资金管理制度、转移支付资金管理制度对项目实行专项核算</w:t>
      </w:r>
      <w:r>
        <w:rPr>
          <w:rFonts w:hint="eastAsia" w:ascii="仿宋_GB2312" w:hAnsi="仿宋_GB2312" w:eastAsia="仿宋_GB2312" w:cs="仿宋_GB2312"/>
          <w:bCs/>
          <w:sz w:val="32"/>
          <w:szCs w:val="32"/>
        </w:rPr>
        <w:t>，能够做到专款专用，严格按照下达预算的科目和项目执行，未出现截留、挤占、挪用或擅自调整等问题，资金管理使用较为规范。</w:t>
      </w:r>
    </w:p>
    <w:p w14:paraId="6698B90B">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5.资金执行准确性</w:t>
      </w:r>
    </w:p>
    <w:p w14:paraId="014A4122">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按照预算安排的金额执行，不存在执行数偏离预算数较多的问题。北京市2023年计划生育补助资金项目总投入为83,144.75万元，实际到位资金为83,144.75万元，资金到位率为100%，截至2023年12月31日，实际支出金额为80,081.12万元，预算执行率为96.32%。</w:t>
      </w:r>
    </w:p>
    <w:p w14:paraId="5F3049BB">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6.预算绩效管理情况</w:t>
      </w:r>
    </w:p>
    <w:p w14:paraId="21EC2EF7">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2023年北京市计划生育补助资金转移支付项目在细化下达预算时同步下达绩效目标，北京市卫生健康委员会和16个区级卫生健康委员会按</w:t>
      </w:r>
      <w:r>
        <w:rPr>
          <w:rFonts w:hint="eastAsia" w:ascii="仿宋_GB2312" w:hAnsi="仿宋_GB2312" w:eastAsia="仿宋_GB2312" w:cs="仿宋_GB2312"/>
          <w:bCs/>
          <w:sz w:val="32"/>
          <w:szCs w:val="32"/>
        </w:rPr>
        <w:t>《财政部关于开展2023年度中央对地方转移支付预算执行情况绩效自评工作的通知》（财监〔2024〕3号）</w:t>
      </w:r>
      <w:r>
        <w:rPr>
          <w:rFonts w:hint="eastAsia" w:ascii="仿宋_GB2312" w:hAnsi="仿宋_GB2312" w:eastAsia="仿宋_GB2312" w:cs="仿宋_GB2312"/>
          <w:sz w:val="32"/>
          <w:szCs w:val="32"/>
          <w:lang w:bidi="ar"/>
        </w:rPr>
        <w:t>要求</w:t>
      </w:r>
      <w:r>
        <w:rPr>
          <w:rFonts w:hint="eastAsia" w:ascii="仿宋_GB2312" w:hAnsi="仿宋_GB2312" w:eastAsia="仿宋_GB2312" w:cs="仿宋_GB2312"/>
          <w:bCs/>
          <w:sz w:val="32"/>
          <w:szCs w:val="32"/>
        </w:rPr>
        <w:t>，对项目开展绩效自评工作。</w:t>
      </w:r>
    </w:p>
    <w:p w14:paraId="758CBE3D">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7.支出责任履行情况</w:t>
      </w:r>
    </w:p>
    <w:p w14:paraId="56A7414A">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北京市卫生健康委员会和北京市财政局针对2023年北京市计划生育补助资金转移支付项目能够做到严格按照财政事权和支出责任划分有关规定，足额安排资金履行本级支出责任。各区财政局、卫生健康委员会及各个资金使用单位能够严格按照财政事权和支出责任划分有关规定，足额安排资金履行本级支出责任。</w:t>
      </w:r>
    </w:p>
    <w:p w14:paraId="3A82744D">
      <w:pPr>
        <w:pStyle w:val="15"/>
        <w:tabs>
          <w:tab w:val="left" w:pos="1667"/>
        </w:tabs>
        <w:spacing w:line="580" w:lineRule="exact"/>
        <w:ind w:firstLine="640" w:firstLineChars="200"/>
        <w:rPr>
          <w:rFonts w:ascii="仿宋_GB2312" w:hAnsi="仿宋_GB2312" w:eastAsia="PMingLiU" w:cs="仿宋_GB2312"/>
          <w:sz w:val="32"/>
          <w:szCs w:val="32"/>
        </w:rPr>
      </w:pPr>
      <w:r>
        <w:rPr>
          <w:rFonts w:hint="eastAsia" w:ascii="楷体_GB2312" w:hAnsi="楷体_GB2312" w:eastAsia="楷体_GB2312" w:cs="楷体_GB2312"/>
          <w:color w:val="000000"/>
          <w:sz w:val="32"/>
          <w:szCs w:val="32"/>
        </w:rPr>
        <w:t>（</w:t>
      </w:r>
      <w:bookmarkEnd w:id="2"/>
      <w:r>
        <w:rPr>
          <w:rFonts w:hint="eastAsia" w:ascii="楷体_GB2312" w:hAnsi="楷体_GB2312" w:eastAsia="楷体_GB2312" w:cs="楷体_GB2312"/>
          <w:color w:val="000000"/>
          <w:sz w:val="32"/>
          <w:szCs w:val="32"/>
          <w:lang w:val="en-US" w:eastAsia="zh-CN"/>
        </w:rPr>
        <w:t>三</w:t>
      </w:r>
      <w:r>
        <w:rPr>
          <w:rFonts w:hint="eastAsia" w:ascii="楷体_GB2312" w:hAnsi="楷体_GB2312" w:eastAsia="楷体_GB2312" w:cs="楷体_GB2312"/>
          <w:color w:val="000000"/>
          <w:sz w:val="32"/>
          <w:szCs w:val="32"/>
        </w:rPr>
        <w:t>）总体绩效目标完成情况分析</w:t>
      </w:r>
    </w:p>
    <w:p w14:paraId="2C8C590C">
      <w:pPr>
        <w:pStyle w:val="7"/>
        <w:widowControl/>
        <w:kinsoku w:val="0"/>
        <w:autoSpaceDE w:val="0"/>
        <w:autoSpaceDN w:val="0"/>
        <w:adjustRightInd w:val="0"/>
        <w:snapToGrid w:val="0"/>
        <w:spacing w:line="580" w:lineRule="exact"/>
        <w:ind w:firstLine="640" w:firstLineChars="200"/>
        <w:textAlignment w:val="baseline"/>
        <w:rPr>
          <w:rFonts w:ascii="仿宋_GB2312" w:hAnsi="仿宋_GB2312" w:eastAsia="仿宋_GB2312" w:cs="仿宋_GB2312"/>
          <w:bCs/>
          <w:sz w:val="32"/>
          <w:szCs w:val="32"/>
        </w:rPr>
      </w:pPr>
      <w:bookmarkStart w:id="3" w:name="bookmark43"/>
      <w:r>
        <w:rPr>
          <w:rFonts w:hint="eastAsia" w:ascii="仿宋_GB2312" w:hAnsi="仿宋" w:eastAsia="仿宋_GB2312"/>
          <w:sz w:val="32"/>
          <w:szCs w:val="32"/>
          <w:lang w:bidi="ar"/>
        </w:rPr>
        <w:t>随着2023年中央转移支付计划生育补助资金支持力度不断加大，</w:t>
      </w:r>
      <w:r>
        <w:rPr>
          <w:rFonts w:hint="eastAsia" w:ascii="仿宋_GB2312" w:hAnsi="仿宋_GB2312" w:eastAsia="仿宋_GB2312" w:cs="仿宋_GB2312"/>
          <w:bCs/>
          <w:sz w:val="32"/>
          <w:szCs w:val="32"/>
        </w:rPr>
        <w:t>2023年实际完成情况为</w:t>
      </w:r>
      <w:r>
        <w:rPr>
          <w:rFonts w:ascii="仿宋_GB2312" w:hAnsi="仿宋_GB2312" w:eastAsia="仿宋_GB2312" w:cs="仿宋_GB2312"/>
          <w:bCs/>
          <w:sz w:val="32"/>
          <w:szCs w:val="32"/>
        </w:rPr>
        <w:t>：</w:t>
      </w:r>
    </w:p>
    <w:p w14:paraId="28D1C145">
      <w:pPr>
        <w:pStyle w:val="7"/>
        <w:widowControl/>
        <w:kinsoku w:val="0"/>
        <w:autoSpaceDE w:val="0"/>
        <w:autoSpaceDN w:val="0"/>
        <w:adjustRightInd w:val="0"/>
        <w:snapToGrid w:val="0"/>
        <w:spacing w:line="580" w:lineRule="exact"/>
        <w:ind w:firstLine="640" w:firstLineChars="200"/>
        <w:textAlignment w:val="baseline"/>
        <w:rPr>
          <w:rFonts w:ascii="仿宋_GB2312" w:hAnsi="仿宋" w:eastAsia="仿宋_GB2312"/>
          <w:sz w:val="32"/>
          <w:szCs w:val="32"/>
          <w:lang w:bidi="ar"/>
        </w:rPr>
      </w:pPr>
      <w:r>
        <w:rPr>
          <w:rFonts w:hint="eastAsia" w:ascii="仿宋_GB2312" w:hAnsi="仿宋" w:eastAsia="仿宋_GB2312"/>
          <w:sz w:val="32"/>
          <w:szCs w:val="32"/>
          <w:lang w:bidi="ar"/>
        </w:rPr>
        <w:t>1.实施农村部分计划生育家庭奖励扶助制度缓解了农村独生子女家庭养老问题，提高家庭发展能力。</w:t>
      </w:r>
    </w:p>
    <w:p w14:paraId="70CEA0DF">
      <w:pPr>
        <w:pStyle w:val="7"/>
        <w:widowControl/>
        <w:kinsoku w:val="0"/>
        <w:autoSpaceDE w:val="0"/>
        <w:autoSpaceDN w:val="0"/>
        <w:adjustRightInd w:val="0"/>
        <w:snapToGrid w:val="0"/>
        <w:spacing w:line="580" w:lineRule="exact"/>
        <w:ind w:firstLine="640" w:firstLineChars="200"/>
        <w:textAlignment w:val="baseline"/>
        <w:rPr>
          <w:rFonts w:ascii="仿宋_GB2312" w:hAnsi="仿宋_GB2312" w:eastAsia="仿宋_GB2312" w:cs="仿宋_GB2312"/>
          <w:sz w:val="32"/>
          <w:szCs w:val="32"/>
        </w:rPr>
      </w:pPr>
      <w:r>
        <w:rPr>
          <w:rFonts w:hint="eastAsia" w:ascii="仿宋_GB2312" w:hAnsi="仿宋" w:eastAsia="仿宋_GB2312"/>
          <w:sz w:val="32"/>
          <w:szCs w:val="32"/>
          <w:lang w:bidi="ar"/>
        </w:rPr>
        <w:t>2.实施计划生育家庭特别扶助制度，缓解独生子女发生伤残、死亡家庭在生产、生活、医疗和养老等方面的实际困难，保障和改善民生，促进社会和谐稳定。其他计划生育事项顺利推进</w:t>
      </w:r>
      <w:r>
        <w:rPr>
          <w:rFonts w:hint="eastAsia" w:ascii="仿宋_GB2312" w:hAnsi="仿宋" w:eastAsia="仿宋_GB2312"/>
          <w:color w:val="000000"/>
          <w:sz w:val="32"/>
          <w:szCs w:val="32"/>
          <w:lang w:bidi="ar"/>
        </w:rPr>
        <w:t>，绩效指标整体良好，任务目标基本落实到位。</w:t>
      </w:r>
    </w:p>
    <w:p w14:paraId="42A337EA">
      <w:pPr>
        <w:spacing w:line="580" w:lineRule="exact"/>
        <w:ind w:firstLine="640" w:firstLineChars="200"/>
        <w:rPr>
          <w:rFonts w:ascii="楷体" w:hAnsi="楷体" w:eastAsia="楷体" w:cs="楷体"/>
          <w:bCs/>
          <w:sz w:val="32"/>
          <w:szCs w:val="32"/>
        </w:rPr>
      </w:pPr>
      <w:r>
        <w:rPr>
          <w:rFonts w:hint="eastAsia" w:ascii="楷体" w:hAnsi="楷体" w:eastAsia="楷体" w:cs="楷体"/>
          <w:bCs/>
          <w:sz w:val="32"/>
          <w:szCs w:val="32"/>
        </w:rPr>
        <w:t>（四）绩效指标完成情况分析</w:t>
      </w:r>
    </w:p>
    <w:p w14:paraId="7199B356">
      <w:pPr>
        <w:widowControl/>
        <w:kinsoku w:val="0"/>
        <w:autoSpaceDE w:val="0"/>
        <w:autoSpaceDN w:val="0"/>
        <w:adjustRightInd w:val="0"/>
        <w:snapToGrid w:val="0"/>
        <w:spacing w:line="580" w:lineRule="exact"/>
        <w:ind w:firstLine="640" w:firstLineChars="200"/>
        <w:textAlignment w:val="baseline"/>
        <w:rPr>
          <w:rFonts w:ascii="仿宋_GB2312" w:hAnsi="仿宋_GB2312" w:eastAsia="仿宋_GB2312" w:cs="仿宋_GB2312"/>
          <w:bCs/>
          <w:sz w:val="32"/>
          <w:szCs w:val="32"/>
          <w:lang w:eastAsia="zh-Hans"/>
        </w:rPr>
      </w:pPr>
      <w:r>
        <w:rPr>
          <w:rFonts w:hint="eastAsia" w:ascii="仿宋_GB2312" w:hAnsi="仿宋_GB2312" w:eastAsia="仿宋_GB2312" w:cs="仿宋_GB2312"/>
          <w:bCs/>
          <w:sz w:val="32"/>
          <w:szCs w:val="32"/>
          <w:lang w:eastAsia="zh-Hans"/>
        </w:rPr>
        <w:t>1.产出指标完成情况分析</w:t>
      </w:r>
    </w:p>
    <w:p w14:paraId="055DF3BE">
      <w:pPr>
        <w:pStyle w:val="6"/>
        <w:widowControl/>
        <w:kinsoku w:val="0"/>
        <w:autoSpaceDE w:val="0"/>
        <w:autoSpaceDN w:val="0"/>
        <w:adjustRightInd w:val="0"/>
        <w:snapToGrid w:val="0"/>
        <w:spacing w:after="0" w:line="580" w:lineRule="exact"/>
        <w:ind w:firstLine="640" w:firstLineChars="200"/>
        <w:textAlignment w:val="baseline"/>
        <w:rPr>
          <w:rFonts w:ascii="仿宋_GB2312" w:hAnsi="仿宋_GB2312" w:eastAsia="仿宋_GB2312" w:cs="仿宋_GB2312"/>
          <w:color w:val="FF0000"/>
          <w:sz w:val="32"/>
          <w:szCs w:val="32"/>
          <w:lang w:eastAsia="zh-Hans" w:bidi="ar"/>
        </w:rPr>
      </w:pPr>
      <w:r>
        <w:rPr>
          <w:rFonts w:hint="eastAsia" w:ascii="仿宋_GB2312" w:hAnsi="仿宋_GB2312" w:eastAsia="仿宋_GB2312" w:cs="仿宋_GB2312"/>
          <w:color w:val="000000"/>
          <w:sz w:val="32"/>
          <w:szCs w:val="32"/>
          <w:lang w:eastAsia="zh-Hans" w:bidi="ar"/>
        </w:rPr>
        <w:t>（1）数量指标</w:t>
      </w:r>
    </w:p>
    <w:p w14:paraId="6844B9B1">
      <w:pPr>
        <w:widowControl/>
        <w:kinsoku w:val="0"/>
        <w:autoSpaceDE w:val="0"/>
        <w:autoSpaceDN w:val="0"/>
        <w:adjustRightInd w:val="0"/>
        <w:snapToGrid w:val="0"/>
        <w:spacing w:line="580" w:lineRule="exact"/>
        <w:ind w:firstLine="640" w:firstLineChars="200"/>
        <w:textAlignment w:val="baseline"/>
        <w:rPr>
          <w:sz w:val="32"/>
          <w:szCs w:val="32"/>
          <w:lang w:eastAsia="zh-Hans"/>
        </w:rPr>
      </w:pPr>
      <w:r>
        <w:rPr>
          <w:rFonts w:hint="eastAsia" w:ascii="仿宋_GB2312" w:hAnsi="仿宋" w:eastAsia="仿宋_GB2312"/>
          <w:color w:val="000000"/>
          <w:sz w:val="32"/>
          <w:szCs w:val="32"/>
          <w:lang w:bidi="ar"/>
        </w:rPr>
        <w:t>2023年北京市计划生育补助资金转移支付项目</w:t>
      </w:r>
      <w:r>
        <w:rPr>
          <w:rFonts w:hint="eastAsia" w:ascii="仿宋_GB2312" w:hAnsi="仿宋" w:eastAsia="仿宋_GB2312"/>
          <w:sz w:val="32"/>
          <w:szCs w:val="32"/>
          <w:lang w:bidi="ar"/>
        </w:rPr>
        <w:t>设定的产出数量指标共</w:t>
      </w:r>
      <w:r>
        <w:rPr>
          <w:rFonts w:ascii="仿宋_GB2312" w:hAnsi="仿宋" w:eastAsia="仿宋_GB2312"/>
          <w:sz w:val="32"/>
          <w:szCs w:val="32"/>
          <w:lang w:bidi="ar"/>
        </w:rPr>
        <w:t>4</w:t>
      </w:r>
      <w:r>
        <w:rPr>
          <w:rFonts w:hint="eastAsia" w:ascii="仿宋_GB2312" w:hAnsi="仿宋" w:eastAsia="仿宋_GB2312"/>
          <w:sz w:val="32"/>
          <w:szCs w:val="32"/>
          <w:lang w:bidi="ar"/>
        </w:rPr>
        <w:t>项，均已完成，</w:t>
      </w:r>
      <w:r>
        <w:rPr>
          <w:rFonts w:hint="eastAsia" w:ascii="仿宋_GB2312" w:hAnsi="仿宋" w:eastAsia="仿宋_GB2312"/>
          <w:sz w:val="32"/>
          <w:szCs w:val="32"/>
          <w:lang w:eastAsia="zh-Hans" w:bidi="ar"/>
        </w:rPr>
        <w:t>具体情况如下表</w:t>
      </w:r>
      <w:r>
        <w:rPr>
          <w:rFonts w:hint="eastAsia" w:ascii="仿宋_GB2312" w:hAnsi="仿宋" w:eastAsia="仿宋_GB2312"/>
          <w:sz w:val="32"/>
          <w:szCs w:val="32"/>
          <w:lang w:val="en-US" w:eastAsia="zh-CN" w:bidi="ar"/>
        </w:rPr>
        <w:t>1</w:t>
      </w:r>
      <w:r>
        <w:rPr>
          <w:rFonts w:ascii="仿宋_GB2312" w:hAnsi="仿宋" w:eastAsia="仿宋_GB2312"/>
          <w:sz w:val="32"/>
          <w:szCs w:val="32"/>
          <w:lang w:eastAsia="zh-Hans" w:bidi="ar"/>
        </w:rPr>
        <w:t>：</w:t>
      </w:r>
    </w:p>
    <w:p w14:paraId="6CB083BC">
      <w:pPr>
        <w:pStyle w:val="6"/>
        <w:spacing w:after="0"/>
        <w:jc w:val="center"/>
        <w:rPr>
          <w:rFonts w:ascii="仿宋_GB2312" w:hAnsi="仿宋" w:eastAsia="仿宋_GB2312"/>
          <w:sz w:val="28"/>
          <w:szCs w:val="28"/>
          <w:lang w:eastAsia="zh-Hans" w:bidi="ar"/>
        </w:rPr>
      </w:pPr>
      <w:r>
        <w:rPr>
          <w:rFonts w:hint="eastAsia" w:ascii="仿宋_GB2312" w:hAnsi="仿宋" w:eastAsia="仿宋_GB2312"/>
          <w:sz w:val="28"/>
          <w:szCs w:val="28"/>
          <w:lang w:eastAsia="zh-Hans" w:bidi="ar"/>
        </w:rPr>
        <w:t>表</w:t>
      </w:r>
      <w:r>
        <w:rPr>
          <w:rFonts w:hint="eastAsia" w:ascii="仿宋_GB2312" w:hAnsi="仿宋" w:eastAsia="仿宋_GB2312"/>
          <w:sz w:val="28"/>
          <w:szCs w:val="28"/>
          <w:lang w:val="en-US" w:eastAsia="zh-CN" w:bidi="ar"/>
        </w:rPr>
        <w:t>1</w:t>
      </w:r>
      <w:r>
        <w:rPr>
          <w:rFonts w:hint="eastAsia" w:ascii="仿宋_GB2312" w:hAnsi="仿宋" w:eastAsia="仿宋_GB2312"/>
          <w:sz w:val="28"/>
          <w:szCs w:val="28"/>
          <w:lang w:eastAsia="zh-Hans" w:bidi="ar"/>
        </w:rPr>
        <w:t>：产出数量指标完成情况表</w:t>
      </w:r>
    </w:p>
    <w:tbl>
      <w:tblPr>
        <w:tblStyle w:val="12"/>
        <w:tblW w:w="8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1224"/>
        <w:gridCol w:w="2971"/>
        <w:gridCol w:w="1660"/>
        <w:gridCol w:w="1984"/>
      </w:tblGrid>
      <w:tr w14:paraId="6331A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blHeader/>
          <w:jc w:val="center"/>
        </w:trPr>
        <w:tc>
          <w:tcPr>
            <w:tcW w:w="831" w:type="dxa"/>
            <w:tcBorders>
              <w:top w:val="single" w:color="auto" w:sz="4" w:space="0"/>
              <w:left w:val="single" w:color="auto" w:sz="4" w:space="0"/>
              <w:bottom w:val="single" w:color="auto" w:sz="4" w:space="0"/>
              <w:right w:val="single" w:color="auto" w:sz="4" w:space="0"/>
            </w:tcBorders>
            <w:shd w:val="clear" w:color="auto" w:fill="A6A6A6"/>
            <w:vAlign w:val="center"/>
          </w:tcPr>
          <w:p w14:paraId="5FB187BA">
            <w:pPr>
              <w:widowControl/>
              <w:jc w:val="center"/>
              <w:rPr>
                <w:rFonts w:asciiTheme="majorEastAsia" w:hAnsiTheme="majorEastAsia" w:eastAsiaTheme="majorEastAsia" w:cstheme="majorEastAsia"/>
                <w:b/>
                <w:snapToGrid w:val="0"/>
                <w:color w:val="000000"/>
                <w:kern w:val="0"/>
                <w:sz w:val="20"/>
                <w:szCs w:val="20"/>
              </w:rPr>
            </w:pPr>
            <w:r>
              <w:rPr>
                <w:rFonts w:hint="eastAsia" w:asciiTheme="majorEastAsia" w:hAnsiTheme="majorEastAsia" w:eastAsiaTheme="majorEastAsia" w:cstheme="majorEastAsia"/>
                <w:b/>
                <w:color w:val="000000"/>
                <w:kern w:val="0"/>
                <w:sz w:val="20"/>
                <w:szCs w:val="20"/>
                <w:lang w:bidi="ar"/>
              </w:rPr>
              <w:t>序号</w:t>
            </w:r>
          </w:p>
        </w:tc>
        <w:tc>
          <w:tcPr>
            <w:tcW w:w="1224" w:type="dxa"/>
            <w:tcBorders>
              <w:top w:val="single" w:color="auto" w:sz="4" w:space="0"/>
              <w:left w:val="single" w:color="auto" w:sz="4" w:space="0"/>
              <w:bottom w:val="single" w:color="auto" w:sz="4" w:space="0"/>
              <w:right w:val="single" w:color="auto" w:sz="4" w:space="0"/>
            </w:tcBorders>
            <w:shd w:val="clear" w:color="auto" w:fill="A6A6A6"/>
            <w:vAlign w:val="center"/>
          </w:tcPr>
          <w:p w14:paraId="1AADD074">
            <w:pPr>
              <w:widowControl/>
              <w:jc w:val="center"/>
              <w:rPr>
                <w:rFonts w:asciiTheme="majorEastAsia" w:hAnsiTheme="majorEastAsia" w:eastAsiaTheme="majorEastAsia" w:cstheme="majorEastAsia"/>
                <w:b/>
                <w:color w:val="000000"/>
                <w:kern w:val="0"/>
                <w:sz w:val="20"/>
                <w:szCs w:val="20"/>
              </w:rPr>
            </w:pPr>
            <w:r>
              <w:rPr>
                <w:rFonts w:hint="eastAsia" w:asciiTheme="majorEastAsia" w:hAnsiTheme="majorEastAsia" w:eastAsiaTheme="majorEastAsia" w:cstheme="majorEastAsia"/>
                <w:b/>
                <w:color w:val="000000"/>
                <w:kern w:val="0"/>
                <w:sz w:val="20"/>
                <w:szCs w:val="20"/>
                <w:lang w:bidi="ar"/>
              </w:rPr>
              <w:t>指标类型</w:t>
            </w:r>
          </w:p>
        </w:tc>
        <w:tc>
          <w:tcPr>
            <w:tcW w:w="2971" w:type="dxa"/>
            <w:tcBorders>
              <w:top w:val="single" w:color="auto" w:sz="4" w:space="0"/>
              <w:left w:val="single" w:color="auto" w:sz="4" w:space="0"/>
              <w:bottom w:val="single" w:color="auto" w:sz="4" w:space="0"/>
              <w:right w:val="single" w:color="auto" w:sz="4" w:space="0"/>
            </w:tcBorders>
            <w:shd w:val="clear" w:color="auto" w:fill="A6A6A6"/>
            <w:vAlign w:val="center"/>
          </w:tcPr>
          <w:p w14:paraId="6A311ECD">
            <w:pPr>
              <w:widowControl/>
              <w:jc w:val="center"/>
              <w:rPr>
                <w:rFonts w:asciiTheme="majorEastAsia" w:hAnsiTheme="majorEastAsia" w:eastAsiaTheme="majorEastAsia" w:cstheme="majorEastAsia"/>
                <w:b/>
                <w:color w:val="000000"/>
                <w:kern w:val="0"/>
                <w:sz w:val="20"/>
                <w:szCs w:val="20"/>
              </w:rPr>
            </w:pPr>
            <w:r>
              <w:rPr>
                <w:rFonts w:hint="eastAsia" w:asciiTheme="majorEastAsia" w:hAnsiTheme="majorEastAsia" w:eastAsiaTheme="majorEastAsia" w:cstheme="majorEastAsia"/>
                <w:b/>
                <w:color w:val="000000"/>
                <w:kern w:val="0"/>
                <w:sz w:val="20"/>
                <w:szCs w:val="20"/>
                <w:lang w:bidi="ar"/>
              </w:rPr>
              <w:t>三级指标</w:t>
            </w:r>
          </w:p>
        </w:tc>
        <w:tc>
          <w:tcPr>
            <w:tcW w:w="1660" w:type="dxa"/>
            <w:tcBorders>
              <w:top w:val="single" w:color="auto" w:sz="4" w:space="0"/>
              <w:left w:val="single" w:color="auto" w:sz="4" w:space="0"/>
              <w:bottom w:val="single" w:color="auto" w:sz="4" w:space="0"/>
              <w:right w:val="single" w:color="auto" w:sz="4" w:space="0"/>
            </w:tcBorders>
            <w:shd w:val="clear" w:color="auto" w:fill="A6A6A6"/>
            <w:vAlign w:val="center"/>
          </w:tcPr>
          <w:p w14:paraId="47669F94">
            <w:pPr>
              <w:widowControl/>
              <w:jc w:val="center"/>
              <w:rPr>
                <w:rFonts w:asciiTheme="majorEastAsia" w:hAnsiTheme="majorEastAsia" w:eastAsiaTheme="majorEastAsia" w:cstheme="majorEastAsia"/>
                <w:b/>
                <w:color w:val="000000"/>
                <w:kern w:val="0"/>
                <w:sz w:val="20"/>
                <w:szCs w:val="20"/>
              </w:rPr>
            </w:pPr>
            <w:r>
              <w:rPr>
                <w:rFonts w:hint="eastAsia" w:asciiTheme="majorEastAsia" w:hAnsiTheme="majorEastAsia" w:eastAsiaTheme="majorEastAsia" w:cstheme="majorEastAsia"/>
                <w:b/>
                <w:color w:val="000000"/>
                <w:kern w:val="0"/>
                <w:sz w:val="20"/>
                <w:szCs w:val="20"/>
                <w:lang w:bidi="ar"/>
              </w:rPr>
              <w:t>指标值</w:t>
            </w:r>
          </w:p>
        </w:tc>
        <w:tc>
          <w:tcPr>
            <w:tcW w:w="1984" w:type="dxa"/>
            <w:tcBorders>
              <w:top w:val="single" w:color="auto" w:sz="4" w:space="0"/>
              <w:left w:val="single" w:color="auto" w:sz="4" w:space="0"/>
              <w:bottom w:val="single" w:color="auto" w:sz="4" w:space="0"/>
              <w:right w:val="single" w:color="auto" w:sz="4" w:space="0"/>
            </w:tcBorders>
            <w:shd w:val="clear" w:color="auto" w:fill="A6A6A6"/>
            <w:vAlign w:val="center"/>
          </w:tcPr>
          <w:p w14:paraId="33B3C96D">
            <w:pPr>
              <w:widowControl/>
              <w:jc w:val="center"/>
              <w:rPr>
                <w:rFonts w:asciiTheme="majorEastAsia" w:hAnsiTheme="majorEastAsia" w:eastAsiaTheme="majorEastAsia" w:cstheme="majorEastAsia"/>
                <w:b/>
                <w:color w:val="000000"/>
                <w:kern w:val="0"/>
                <w:sz w:val="20"/>
                <w:szCs w:val="20"/>
              </w:rPr>
            </w:pPr>
            <w:r>
              <w:rPr>
                <w:rFonts w:hint="eastAsia" w:asciiTheme="majorEastAsia" w:hAnsiTheme="majorEastAsia" w:eastAsiaTheme="majorEastAsia" w:cstheme="majorEastAsia"/>
                <w:b/>
                <w:color w:val="000000"/>
                <w:kern w:val="0"/>
                <w:sz w:val="20"/>
                <w:szCs w:val="20"/>
                <w:lang w:bidi="ar"/>
              </w:rPr>
              <w:t>实际完成值</w:t>
            </w:r>
          </w:p>
        </w:tc>
      </w:tr>
      <w:tr w14:paraId="12775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14:paraId="21B4ED71">
            <w:pPr>
              <w:widowControl/>
              <w:jc w:val="center"/>
              <w:rPr>
                <w:rFonts w:asciiTheme="majorEastAsia" w:hAnsiTheme="majorEastAsia" w:eastAsiaTheme="majorEastAsia" w:cstheme="majorEastAsia"/>
                <w:snapToGrid w:val="0"/>
                <w:color w:val="000000"/>
                <w:kern w:val="0"/>
                <w:sz w:val="20"/>
                <w:szCs w:val="20"/>
                <w:lang w:eastAsia="zh-Hans"/>
              </w:rPr>
            </w:pPr>
            <w:r>
              <w:rPr>
                <w:rFonts w:hint="eastAsia" w:asciiTheme="majorEastAsia" w:hAnsiTheme="majorEastAsia" w:eastAsiaTheme="majorEastAsia" w:cstheme="majorEastAsia"/>
                <w:sz w:val="20"/>
                <w:szCs w:val="20"/>
                <w:lang w:bidi="ar"/>
              </w:rPr>
              <w:t>1</w:t>
            </w:r>
          </w:p>
        </w:tc>
        <w:tc>
          <w:tcPr>
            <w:tcW w:w="1224" w:type="dxa"/>
            <w:tcBorders>
              <w:top w:val="single" w:color="auto" w:sz="4" w:space="0"/>
              <w:left w:val="single" w:color="auto" w:sz="4" w:space="0"/>
              <w:bottom w:val="single" w:color="auto" w:sz="4" w:space="0"/>
              <w:right w:val="single" w:color="auto" w:sz="4" w:space="0"/>
            </w:tcBorders>
            <w:vAlign w:val="center"/>
          </w:tcPr>
          <w:p w14:paraId="0D1D4C1C">
            <w:pPr>
              <w:widowControl/>
              <w:spacing w:after="156" w:afterLines="50"/>
              <w:jc w:val="center"/>
              <w:rPr>
                <w:rFonts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lang w:eastAsia="zh-Hans" w:bidi="ar"/>
              </w:rPr>
              <w:t>数量</w:t>
            </w:r>
            <w:r>
              <w:rPr>
                <w:rFonts w:hint="eastAsia" w:asciiTheme="majorEastAsia" w:hAnsiTheme="majorEastAsia" w:eastAsiaTheme="majorEastAsia"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14:paraId="23EA5A29">
            <w:pPr>
              <w:widowControl/>
              <w:jc w:val="center"/>
              <w:textAlignment w:val="center"/>
              <w:rPr>
                <w:rFonts w:asciiTheme="majorEastAsia" w:hAnsiTheme="majorEastAsia" w:eastAsiaTheme="majorEastAsia" w:cstheme="majorEastAsia"/>
                <w:sz w:val="20"/>
                <w:szCs w:val="20"/>
              </w:rPr>
            </w:pPr>
            <w:r>
              <w:rPr>
                <w:rFonts w:hint="eastAsia" w:ascii="宋体" w:hAnsi="宋体" w:eastAsia="宋体" w:cs="宋体"/>
                <w:color w:val="000000"/>
                <w:kern w:val="0"/>
                <w:sz w:val="20"/>
                <w:szCs w:val="20"/>
                <w:lang w:bidi="ar"/>
              </w:rPr>
              <w:t>扶助独生子女伤残家庭人数</w:t>
            </w:r>
          </w:p>
        </w:tc>
        <w:tc>
          <w:tcPr>
            <w:tcW w:w="1660" w:type="dxa"/>
            <w:tcBorders>
              <w:top w:val="single" w:color="auto" w:sz="4" w:space="0"/>
              <w:left w:val="single" w:color="auto" w:sz="4" w:space="0"/>
              <w:bottom w:val="single" w:color="auto" w:sz="4" w:space="0"/>
              <w:right w:val="single" w:color="auto" w:sz="4" w:space="0"/>
            </w:tcBorders>
            <w:vAlign w:val="center"/>
          </w:tcPr>
          <w:p w14:paraId="3AEDBB78">
            <w:pPr>
              <w:widowControl/>
              <w:jc w:val="center"/>
              <w:textAlignment w:val="center"/>
              <w:rPr>
                <w:rFonts w:asciiTheme="majorEastAsia" w:hAnsiTheme="majorEastAsia" w:eastAsiaTheme="majorEastAsia" w:cstheme="majorEastAsia"/>
                <w:sz w:val="20"/>
                <w:szCs w:val="20"/>
              </w:rPr>
            </w:pPr>
            <w:r>
              <w:rPr>
                <w:rFonts w:hint="eastAsia" w:ascii="宋体" w:hAnsi="宋体" w:eastAsia="宋体" w:cs="宋体"/>
                <w:color w:val="000000"/>
                <w:kern w:val="0"/>
                <w:sz w:val="20"/>
                <w:szCs w:val="20"/>
                <w:lang w:bidi="ar"/>
              </w:rPr>
              <w:t>22958人</w:t>
            </w:r>
          </w:p>
        </w:tc>
        <w:tc>
          <w:tcPr>
            <w:tcW w:w="1984" w:type="dxa"/>
            <w:tcBorders>
              <w:top w:val="single" w:color="auto" w:sz="4" w:space="0"/>
              <w:left w:val="single" w:color="auto" w:sz="4" w:space="0"/>
              <w:bottom w:val="single" w:color="auto" w:sz="4" w:space="0"/>
              <w:right w:val="single" w:color="auto" w:sz="4" w:space="0"/>
            </w:tcBorders>
            <w:vAlign w:val="center"/>
          </w:tcPr>
          <w:p w14:paraId="4F8B903C">
            <w:pPr>
              <w:widowControl/>
              <w:jc w:val="center"/>
              <w:textAlignment w:val="center"/>
              <w:rPr>
                <w:rFonts w:asciiTheme="majorEastAsia" w:hAnsiTheme="majorEastAsia" w:eastAsiaTheme="majorEastAsia" w:cstheme="majorEastAsia"/>
                <w:sz w:val="20"/>
                <w:szCs w:val="20"/>
              </w:rPr>
            </w:pPr>
            <w:r>
              <w:rPr>
                <w:rFonts w:hint="eastAsia" w:ascii="宋体" w:hAnsi="宋体" w:eastAsia="宋体" w:cs="宋体"/>
                <w:color w:val="000000"/>
                <w:kern w:val="0"/>
                <w:sz w:val="20"/>
                <w:szCs w:val="20"/>
                <w:lang w:bidi="ar"/>
              </w:rPr>
              <w:t>22958人</w:t>
            </w:r>
          </w:p>
        </w:tc>
      </w:tr>
      <w:tr w14:paraId="06550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14:paraId="537B060D">
            <w:pPr>
              <w:widowControl/>
              <w:jc w:val="center"/>
              <w:rPr>
                <w:rFonts w:asciiTheme="majorEastAsia" w:hAnsiTheme="majorEastAsia" w:eastAsiaTheme="majorEastAsia" w:cstheme="majorEastAsia"/>
                <w:snapToGrid w:val="0"/>
                <w:color w:val="000000"/>
                <w:kern w:val="0"/>
                <w:sz w:val="20"/>
                <w:szCs w:val="20"/>
                <w:lang w:eastAsia="zh-Hans" w:bidi="ar"/>
              </w:rPr>
            </w:pPr>
            <w:r>
              <w:rPr>
                <w:rFonts w:hint="eastAsia" w:asciiTheme="majorEastAsia" w:hAnsiTheme="majorEastAsia" w:eastAsiaTheme="majorEastAsia" w:cstheme="majorEastAsia"/>
                <w:sz w:val="20"/>
                <w:szCs w:val="20"/>
                <w:lang w:bidi="ar"/>
              </w:rPr>
              <w:t>2</w:t>
            </w:r>
          </w:p>
        </w:tc>
        <w:tc>
          <w:tcPr>
            <w:tcW w:w="1224" w:type="dxa"/>
            <w:tcBorders>
              <w:top w:val="single" w:color="auto" w:sz="4" w:space="0"/>
              <w:left w:val="single" w:color="auto" w:sz="4" w:space="0"/>
              <w:bottom w:val="single" w:color="auto" w:sz="4" w:space="0"/>
              <w:right w:val="single" w:color="auto" w:sz="4" w:space="0"/>
            </w:tcBorders>
            <w:vAlign w:val="center"/>
          </w:tcPr>
          <w:p w14:paraId="3A66DC69">
            <w:pPr>
              <w:widowControl/>
              <w:spacing w:after="156" w:afterLines="50"/>
              <w:jc w:val="center"/>
              <w:rPr>
                <w:rFonts w:asciiTheme="majorEastAsia" w:hAnsiTheme="majorEastAsia" w:eastAsiaTheme="majorEastAsia" w:cstheme="majorEastAsia"/>
                <w:sz w:val="20"/>
                <w:szCs w:val="20"/>
                <w:lang w:eastAsia="zh-Hans" w:bidi="ar"/>
              </w:rPr>
            </w:pPr>
            <w:r>
              <w:rPr>
                <w:rFonts w:hint="eastAsia" w:asciiTheme="majorEastAsia" w:hAnsiTheme="majorEastAsia" w:eastAsiaTheme="majorEastAsia" w:cstheme="majorEastAsia"/>
                <w:sz w:val="20"/>
                <w:szCs w:val="20"/>
                <w:lang w:eastAsia="zh-Hans" w:bidi="ar"/>
              </w:rPr>
              <w:t>数量</w:t>
            </w:r>
            <w:r>
              <w:rPr>
                <w:rFonts w:hint="eastAsia" w:asciiTheme="majorEastAsia" w:hAnsiTheme="majorEastAsia" w:eastAsiaTheme="majorEastAsia"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14:paraId="73D2A1E2">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扶助独生子女死亡家庭人数</w:t>
            </w:r>
          </w:p>
        </w:tc>
        <w:tc>
          <w:tcPr>
            <w:tcW w:w="1660" w:type="dxa"/>
            <w:tcBorders>
              <w:top w:val="single" w:color="auto" w:sz="4" w:space="0"/>
              <w:left w:val="single" w:color="auto" w:sz="4" w:space="0"/>
              <w:bottom w:val="single" w:color="auto" w:sz="4" w:space="0"/>
              <w:right w:val="single" w:color="auto" w:sz="4" w:space="0"/>
            </w:tcBorders>
            <w:vAlign w:val="center"/>
          </w:tcPr>
          <w:p w14:paraId="415A0F48">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21784人</w:t>
            </w:r>
          </w:p>
        </w:tc>
        <w:tc>
          <w:tcPr>
            <w:tcW w:w="1984" w:type="dxa"/>
            <w:tcBorders>
              <w:top w:val="single" w:color="auto" w:sz="4" w:space="0"/>
              <w:left w:val="single" w:color="auto" w:sz="4" w:space="0"/>
              <w:bottom w:val="single" w:color="auto" w:sz="4" w:space="0"/>
              <w:right w:val="single" w:color="auto" w:sz="4" w:space="0"/>
            </w:tcBorders>
            <w:vAlign w:val="center"/>
          </w:tcPr>
          <w:p w14:paraId="520F03B5">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21786人</w:t>
            </w:r>
          </w:p>
        </w:tc>
      </w:tr>
      <w:tr w14:paraId="36833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14:paraId="36705B77">
            <w:pPr>
              <w:widowControl/>
              <w:jc w:val="center"/>
              <w:rPr>
                <w:rFonts w:asciiTheme="majorEastAsia" w:hAnsiTheme="majorEastAsia" w:eastAsiaTheme="majorEastAsia" w:cstheme="majorEastAsia"/>
                <w:snapToGrid w:val="0"/>
                <w:color w:val="000000"/>
                <w:kern w:val="0"/>
                <w:sz w:val="20"/>
                <w:szCs w:val="20"/>
                <w:lang w:eastAsia="zh-Hans" w:bidi="ar"/>
              </w:rPr>
            </w:pPr>
            <w:r>
              <w:rPr>
                <w:rFonts w:hint="eastAsia" w:asciiTheme="majorEastAsia" w:hAnsiTheme="majorEastAsia" w:eastAsiaTheme="majorEastAsia" w:cstheme="majorEastAsia"/>
                <w:sz w:val="20"/>
                <w:szCs w:val="20"/>
                <w:lang w:bidi="ar"/>
              </w:rPr>
              <w:t>3</w:t>
            </w:r>
          </w:p>
        </w:tc>
        <w:tc>
          <w:tcPr>
            <w:tcW w:w="1224" w:type="dxa"/>
            <w:tcBorders>
              <w:top w:val="single" w:color="auto" w:sz="4" w:space="0"/>
              <w:left w:val="single" w:color="auto" w:sz="4" w:space="0"/>
              <w:bottom w:val="single" w:color="auto" w:sz="4" w:space="0"/>
              <w:right w:val="single" w:color="auto" w:sz="4" w:space="0"/>
            </w:tcBorders>
            <w:vAlign w:val="center"/>
          </w:tcPr>
          <w:p w14:paraId="07E58F6E">
            <w:pPr>
              <w:widowControl/>
              <w:jc w:val="center"/>
              <w:rPr>
                <w:rFonts w:asciiTheme="majorEastAsia" w:hAnsiTheme="majorEastAsia" w:eastAsiaTheme="majorEastAsia" w:cstheme="majorEastAsia"/>
                <w:sz w:val="20"/>
                <w:szCs w:val="20"/>
                <w:lang w:eastAsia="zh-Hans" w:bidi="ar"/>
              </w:rPr>
            </w:pPr>
            <w:r>
              <w:rPr>
                <w:rFonts w:hint="eastAsia" w:asciiTheme="majorEastAsia" w:hAnsiTheme="majorEastAsia" w:eastAsiaTheme="majorEastAsia" w:cstheme="majorEastAsia"/>
                <w:sz w:val="20"/>
                <w:szCs w:val="20"/>
                <w:lang w:eastAsia="zh-Hans" w:bidi="ar"/>
              </w:rPr>
              <w:t>数量</w:t>
            </w:r>
            <w:r>
              <w:rPr>
                <w:rFonts w:hint="eastAsia" w:asciiTheme="majorEastAsia" w:hAnsiTheme="majorEastAsia" w:eastAsiaTheme="majorEastAsia"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14:paraId="1D988314">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扶助一级、二级、三级计划生育手术并发症人员数</w:t>
            </w:r>
          </w:p>
        </w:tc>
        <w:tc>
          <w:tcPr>
            <w:tcW w:w="1660" w:type="dxa"/>
            <w:tcBorders>
              <w:top w:val="single" w:color="auto" w:sz="4" w:space="0"/>
              <w:left w:val="single" w:color="auto" w:sz="4" w:space="0"/>
              <w:bottom w:val="single" w:color="auto" w:sz="4" w:space="0"/>
              <w:right w:val="single" w:color="auto" w:sz="4" w:space="0"/>
            </w:tcBorders>
            <w:vAlign w:val="center"/>
          </w:tcPr>
          <w:p w14:paraId="2E8D6E6D">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1人</w:t>
            </w:r>
          </w:p>
        </w:tc>
        <w:tc>
          <w:tcPr>
            <w:tcW w:w="1984" w:type="dxa"/>
            <w:tcBorders>
              <w:top w:val="single" w:color="auto" w:sz="4" w:space="0"/>
              <w:left w:val="single" w:color="auto" w:sz="4" w:space="0"/>
              <w:bottom w:val="single" w:color="auto" w:sz="4" w:space="0"/>
              <w:right w:val="single" w:color="auto" w:sz="4" w:space="0"/>
            </w:tcBorders>
            <w:vAlign w:val="center"/>
          </w:tcPr>
          <w:p w14:paraId="17D5D0BB">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1人</w:t>
            </w:r>
          </w:p>
        </w:tc>
      </w:tr>
      <w:tr w14:paraId="30F9D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14:paraId="7DCDD653">
            <w:pPr>
              <w:widowControl/>
              <w:jc w:val="center"/>
              <w:rPr>
                <w:rFonts w:asciiTheme="majorEastAsia" w:hAnsiTheme="majorEastAsia" w:eastAsiaTheme="majorEastAsia" w:cstheme="majorEastAsia"/>
                <w:snapToGrid w:val="0"/>
                <w:color w:val="000000"/>
                <w:kern w:val="0"/>
                <w:sz w:val="20"/>
                <w:szCs w:val="20"/>
                <w:lang w:eastAsia="zh-Hans" w:bidi="ar"/>
              </w:rPr>
            </w:pPr>
            <w:r>
              <w:rPr>
                <w:rFonts w:hint="eastAsia" w:asciiTheme="majorEastAsia" w:hAnsiTheme="majorEastAsia" w:eastAsiaTheme="majorEastAsia" w:cstheme="majorEastAsia"/>
                <w:sz w:val="20"/>
                <w:szCs w:val="20"/>
                <w:lang w:bidi="ar"/>
              </w:rPr>
              <w:t>4</w:t>
            </w:r>
          </w:p>
        </w:tc>
        <w:tc>
          <w:tcPr>
            <w:tcW w:w="1224" w:type="dxa"/>
            <w:tcBorders>
              <w:top w:val="single" w:color="auto" w:sz="4" w:space="0"/>
              <w:left w:val="single" w:color="auto" w:sz="4" w:space="0"/>
              <w:bottom w:val="single" w:color="auto" w:sz="4" w:space="0"/>
              <w:right w:val="single" w:color="auto" w:sz="4" w:space="0"/>
            </w:tcBorders>
            <w:vAlign w:val="center"/>
          </w:tcPr>
          <w:p w14:paraId="3A8F1A4A">
            <w:pPr>
              <w:widowControl/>
              <w:jc w:val="center"/>
              <w:rPr>
                <w:rFonts w:asciiTheme="majorEastAsia" w:hAnsiTheme="majorEastAsia" w:eastAsiaTheme="majorEastAsia" w:cstheme="majorEastAsia"/>
                <w:sz w:val="20"/>
                <w:szCs w:val="20"/>
                <w:lang w:eastAsia="zh-Hans" w:bidi="ar"/>
              </w:rPr>
            </w:pPr>
            <w:r>
              <w:rPr>
                <w:rFonts w:hint="eastAsia" w:asciiTheme="majorEastAsia" w:hAnsiTheme="majorEastAsia" w:eastAsiaTheme="majorEastAsia" w:cstheme="majorEastAsia"/>
                <w:sz w:val="20"/>
                <w:szCs w:val="20"/>
                <w:lang w:eastAsia="zh-Hans" w:bidi="ar"/>
              </w:rPr>
              <w:t>数量</w:t>
            </w:r>
            <w:r>
              <w:rPr>
                <w:rFonts w:hint="eastAsia" w:asciiTheme="majorEastAsia" w:hAnsiTheme="majorEastAsia" w:eastAsiaTheme="majorEastAsia"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14:paraId="501E9102">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农村部分计划生育家庭奖励扶助人数</w:t>
            </w:r>
          </w:p>
        </w:tc>
        <w:tc>
          <w:tcPr>
            <w:tcW w:w="1660" w:type="dxa"/>
            <w:tcBorders>
              <w:top w:val="single" w:color="auto" w:sz="4" w:space="0"/>
              <w:left w:val="single" w:color="auto" w:sz="4" w:space="0"/>
              <w:bottom w:val="single" w:color="auto" w:sz="4" w:space="0"/>
              <w:right w:val="single" w:color="auto" w:sz="4" w:space="0"/>
            </w:tcBorders>
            <w:vAlign w:val="center"/>
          </w:tcPr>
          <w:p w14:paraId="11D5589A">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134905人</w:t>
            </w:r>
          </w:p>
        </w:tc>
        <w:tc>
          <w:tcPr>
            <w:tcW w:w="1984" w:type="dxa"/>
            <w:tcBorders>
              <w:top w:val="single" w:color="auto" w:sz="4" w:space="0"/>
              <w:left w:val="single" w:color="auto" w:sz="4" w:space="0"/>
              <w:bottom w:val="single" w:color="auto" w:sz="4" w:space="0"/>
              <w:right w:val="single" w:color="auto" w:sz="4" w:space="0"/>
            </w:tcBorders>
            <w:vAlign w:val="center"/>
          </w:tcPr>
          <w:p w14:paraId="12664019">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137515人</w:t>
            </w:r>
          </w:p>
        </w:tc>
      </w:tr>
    </w:tbl>
    <w:p w14:paraId="51A68904">
      <w:pPr>
        <w:widowControl/>
        <w:kinsoku w:val="0"/>
        <w:autoSpaceDE w:val="0"/>
        <w:autoSpaceDN w:val="0"/>
        <w:adjustRightInd w:val="0"/>
        <w:snapToGrid w:val="0"/>
        <w:spacing w:line="580" w:lineRule="exact"/>
        <w:ind w:firstLine="640" w:firstLineChars="200"/>
        <w:textAlignment w:val="baseline"/>
        <w:rPr>
          <w:rFonts w:ascii="仿宋_GB2312" w:hAnsi="仿宋_GB2312" w:eastAsia="仿宋_GB2312" w:cs="仿宋_GB2312"/>
          <w:bCs/>
          <w:sz w:val="32"/>
          <w:szCs w:val="32"/>
          <w:lang w:eastAsia="zh-Hans"/>
        </w:rPr>
      </w:pPr>
      <w:r>
        <w:rPr>
          <w:rFonts w:hint="eastAsia" w:ascii="仿宋_GB2312" w:hAnsi="仿宋_GB2312" w:eastAsia="仿宋_GB2312" w:cs="仿宋_GB2312"/>
          <w:bCs/>
          <w:sz w:val="32"/>
          <w:szCs w:val="32"/>
          <w:lang w:eastAsia="zh-Hans"/>
        </w:rPr>
        <w:t>（2）质量指标</w:t>
      </w:r>
    </w:p>
    <w:p w14:paraId="1E1277AA">
      <w:pPr>
        <w:widowControl/>
        <w:kinsoku w:val="0"/>
        <w:autoSpaceDE w:val="0"/>
        <w:autoSpaceDN w:val="0"/>
        <w:adjustRightInd w:val="0"/>
        <w:snapToGrid w:val="0"/>
        <w:spacing w:line="580" w:lineRule="exact"/>
        <w:ind w:firstLine="640" w:firstLineChars="200"/>
        <w:textAlignment w:val="baseline"/>
        <w:rPr>
          <w:rFonts w:ascii="仿宋_GB2312" w:hAnsi="仿宋" w:eastAsia="仿宋_GB2312"/>
          <w:color w:val="000000"/>
          <w:sz w:val="32"/>
          <w:szCs w:val="32"/>
          <w:lang w:eastAsia="zh-Hans" w:bidi="ar"/>
        </w:rPr>
      </w:pPr>
      <w:r>
        <w:rPr>
          <w:rFonts w:hint="eastAsia" w:ascii="仿宋_GB2312" w:hAnsi="仿宋" w:eastAsia="仿宋_GB2312"/>
          <w:color w:val="000000"/>
          <w:sz w:val="32"/>
          <w:szCs w:val="32"/>
          <w:lang w:bidi="ar"/>
        </w:rPr>
        <w:t>2023年北京市计划生育补助资金转移支付项目设定的产出质量指标共</w:t>
      </w:r>
      <w:r>
        <w:rPr>
          <w:rFonts w:ascii="仿宋_GB2312" w:hAnsi="仿宋" w:eastAsia="仿宋_GB2312"/>
          <w:color w:val="000000"/>
          <w:sz w:val="32"/>
          <w:szCs w:val="32"/>
          <w:lang w:bidi="ar"/>
        </w:rPr>
        <w:t>1</w:t>
      </w:r>
      <w:r>
        <w:rPr>
          <w:rFonts w:hint="eastAsia" w:ascii="仿宋_GB2312" w:hAnsi="仿宋" w:eastAsia="仿宋_GB2312"/>
          <w:color w:val="000000"/>
          <w:sz w:val="32"/>
          <w:szCs w:val="32"/>
          <w:lang w:bidi="ar"/>
        </w:rPr>
        <w:t>项，指标已完成，具体情况如下表</w:t>
      </w:r>
      <w:r>
        <w:rPr>
          <w:rFonts w:hint="eastAsia" w:ascii="仿宋_GB2312" w:hAnsi="仿宋" w:eastAsia="仿宋_GB2312"/>
          <w:color w:val="000000"/>
          <w:sz w:val="32"/>
          <w:szCs w:val="32"/>
          <w:lang w:val="en-US" w:eastAsia="zh-CN" w:bidi="ar"/>
        </w:rPr>
        <w:t>2</w:t>
      </w:r>
      <w:r>
        <w:rPr>
          <w:rFonts w:hint="eastAsia" w:ascii="仿宋_GB2312" w:hAnsi="仿宋" w:eastAsia="仿宋_GB2312"/>
          <w:color w:val="000000"/>
          <w:sz w:val="32"/>
          <w:szCs w:val="32"/>
          <w:lang w:bidi="ar"/>
        </w:rPr>
        <w:t>：</w:t>
      </w:r>
    </w:p>
    <w:p w14:paraId="49A9E718">
      <w:pPr>
        <w:pStyle w:val="6"/>
        <w:spacing w:after="0"/>
        <w:jc w:val="center"/>
        <w:rPr>
          <w:sz w:val="28"/>
          <w:szCs w:val="28"/>
          <w:lang w:eastAsia="zh-Hans"/>
        </w:rPr>
      </w:pP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：产出质量指标完成情况表</w:t>
      </w:r>
    </w:p>
    <w:tbl>
      <w:tblPr>
        <w:tblStyle w:val="12"/>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
        <w:gridCol w:w="1179"/>
        <w:gridCol w:w="2534"/>
        <w:gridCol w:w="2071"/>
        <w:gridCol w:w="1726"/>
      </w:tblGrid>
      <w:tr w14:paraId="1E04C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98" w:type="dxa"/>
            <w:tcBorders>
              <w:top w:val="single" w:color="auto" w:sz="4" w:space="0"/>
              <w:left w:val="single" w:color="auto" w:sz="4" w:space="0"/>
              <w:bottom w:val="single" w:color="auto" w:sz="4" w:space="0"/>
              <w:right w:val="single" w:color="auto" w:sz="4" w:space="0"/>
            </w:tcBorders>
            <w:shd w:val="clear" w:color="auto" w:fill="A6A6A6"/>
            <w:vAlign w:val="center"/>
          </w:tcPr>
          <w:p w14:paraId="6AA9354D">
            <w:pPr>
              <w:widowControl/>
              <w:jc w:val="center"/>
              <w:rPr>
                <w:rFonts w:ascii="宋体" w:hAnsi="宋体" w:eastAsia="宋体" w:cs="宋体"/>
                <w:b/>
                <w:snapToGrid w:val="0"/>
                <w:color w:val="000000"/>
                <w:kern w:val="0"/>
                <w:sz w:val="20"/>
                <w:szCs w:val="20"/>
              </w:rPr>
            </w:pPr>
            <w:r>
              <w:rPr>
                <w:rFonts w:hint="eastAsia" w:ascii="宋体" w:hAnsi="宋体" w:eastAsia="宋体" w:cs="宋体"/>
                <w:b/>
                <w:color w:val="000000"/>
                <w:kern w:val="0"/>
                <w:sz w:val="20"/>
                <w:szCs w:val="20"/>
                <w:lang w:bidi="ar"/>
              </w:rPr>
              <w:t>序号</w:t>
            </w:r>
          </w:p>
        </w:tc>
        <w:tc>
          <w:tcPr>
            <w:tcW w:w="1179" w:type="dxa"/>
            <w:tcBorders>
              <w:top w:val="single" w:color="auto" w:sz="4" w:space="0"/>
              <w:left w:val="single" w:color="auto" w:sz="4" w:space="0"/>
              <w:bottom w:val="single" w:color="auto" w:sz="4" w:space="0"/>
              <w:right w:val="single" w:color="auto" w:sz="4" w:space="0"/>
            </w:tcBorders>
            <w:shd w:val="clear" w:color="auto" w:fill="A6A6A6"/>
            <w:vAlign w:val="center"/>
          </w:tcPr>
          <w:p w14:paraId="06058B0B">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bidi="ar"/>
              </w:rPr>
              <w:t>指标类型</w:t>
            </w:r>
          </w:p>
        </w:tc>
        <w:tc>
          <w:tcPr>
            <w:tcW w:w="2534" w:type="dxa"/>
            <w:tcBorders>
              <w:top w:val="single" w:color="auto" w:sz="4" w:space="0"/>
              <w:left w:val="single" w:color="auto" w:sz="4" w:space="0"/>
              <w:bottom w:val="single" w:color="auto" w:sz="4" w:space="0"/>
              <w:right w:val="single" w:color="auto" w:sz="4" w:space="0"/>
            </w:tcBorders>
            <w:shd w:val="clear" w:color="auto" w:fill="A6A6A6"/>
            <w:vAlign w:val="center"/>
          </w:tcPr>
          <w:p w14:paraId="417EF699">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bidi="ar"/>
              </w:rPr>
              <w:t>三级指标</w:t>
            </w:r>
          </w:p>
        </w:tc>
        <w:tc>
          <w:tcPr>
            <w:tcW w:w="2071" w:type="dxa"/>
            <w:tcBorders>
              <w:top w:val="single" w:color="auto" w:sz="4" w:space="0"/>
              <w:left w:val="single" w:color="auto" w:sz="4" w:space="0"/>
              <w:bottom w:val="single" w:color="auto" w:sz="4" w:space="0"/>
              <w:right w:val="single" w:color="auto" w:sz="4" w:space="0"/>
            </w:tcBorders>
            <w:shd w:val="clear" w:color="auto" w:fill="A6A6A6"/>
            <w:vAlign w:val="center"/>
          </w:tcPr>
          <w:p w14:paraId="42BA0F0E">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bidi="ar"/>
              </w:rPr>
              <w:t>指标值</w:t>
            </w:r>
          </w:p>
        </w:tc>
        <w:tc>
          <w:tcPr>
            <w:tcW w:w="1726" w:type="dxa"/>
            <w:tcBorders>
              <w:top w:val="single" w:color="auto" w:sz="4" w:space="0"/>
              <w:left w:val="single" w:color="auto" w:sz="4" w:space="0"/>
              <w:bottom w:val="single" w:color="auto" w:sz="4" w:space="0"/>
              <w:right w:val="single" w:color="auto" w:sz="4" w:space="0"/>
            </w:tcBorders>
            <w:shd w:val="clear" w:color="auto" w:fill="A6A6A6"/>
            <w:vAlign w:val="center"/>
          </w:tcPr>
          <w:p w14:paraId="6230070E">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bidi="ar"/>
              </w:rPr>
              <w:t>实际完成值</w:t>
            </w:r>
          </w:p>
        </w:tc>
      </w:tr>
      <w:tr w14:paraId="6B306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898" w:type="dxa"/>
            <w:tcBorders>
              <w:top w:val="single" w:color="auto" w:sz="4" w:space="0"/>
              <w:left w:val="single" w:color="auto" w:sz="4" w:space="0"/>
              <w:bottom w:val="single" w:color="auto" w:sz="4" w:space="0"/>
              <w:right w:val="single" w:color="auto" w:sz="4" w:space="0"/>
            </w:tcBorders>
            <w:vAlign w:val="center"/>
          </w:tcPr>
          <w:p w14:paraId="2574C3E1">
            <w:pPr>
              <w:widowControl/>
              <w:jc w:val="center"/>
              <w:rPr>
                <w:rFonts w:ascii="宋体" w:hAnsi="宋体" w:eastAsia="宋体" w:cs="宋体"/>
                <w:snapToGrid w:val="0"/>
                <w:color w:val="000000"/>
                <w:kern w:val="0"/>
                <w:sz w:val="20"/>
                <w:szCs w:val="20"/>
                <w:lang w:eastAsia="zh-Hans"/>
              </w:rPr>
            </w:pPr>
            <w:r>
              <w:rPr>
                <w:rFonts w:hint="eastAsia" w:ascii="宋体" w:hAnsi="宋体" w:eastAsia="宋体" w:cs="宋体"/>
                <w:sz w:val="20"/>
                <w:szCs w:val="20"/>
                <w:lang w:bidi="ar"/>
              </w:rPr>
              <w:t>1</w:t>
            </w:r>
          </w:p>
        </w:tc>
        <w:tc>
          <w:tcPr>
            <w:tcW w:w="1179" w:type="dxa"/>
            <w:tcBorders>
              <w:top w:val="single" w:color="auto" w:sz="4" w:space="0"/>
              <w:left w:val="single" w:color="auto" w:sz="4" w:space="0"/>
              <w:bottom w:val="single" w:color="auto" w:sz="4" w:space="0"/>
              <w:right w:val="single" w:color="auto" w:sz="4" w:space="0"/>
            </w:tcBorders>
            <w:vAlign w:val="center"/>
          </w:tcPr>
          <w:p w14:paraId="2E4CB554">
            <w:pPr>
              <w:widowControl/>
              <w:spacing w:after="156" w:afterLines="50"/>
              <w:jc w:val="center"/>
              <w:rPr>
                <w:rFonts w:ascii="宋体" w:hAnsi="宋体" w:eastAsia="宋体" w:cs="宋体"/>
                <w:sz w:val="20"/>
                <w:szCs w:val="20"/>
              </w:rPr>
            </w:pPr>
            <w:r>
              <w:rPr>
                <w:rFonts w:hint="eastAsia" w:ascii="宋体" w:hAnsi="宋体" w:eastAsia="宋体" w:cs="宋体"/>
                <w:sz w:val="20"/>
                <w:szCs w:val="20"/>
                <w:lang w:eastAsia="zh-Hans" w:bidi="ar"/>
              </w:rPr>
              <w:t>质量</w:t>
            </w:r>
            <w:r>
              <w:rPr>
                <w:rFonts w:hint="eastAsia" w:ascii="宋体" w:hAnsi="宋体" w:eastAsia="宋体" w:cs="宋体"/>
                <w:sz w:val="20"/>
                <w:szCs w:val="20"/>
                <w:lang w:bidi="ar"/>
              </w:rPr>
              <w:t>指标</w:t>
            </w:r>
          </w:p>
        </w:tc>
        <w:tc>
          <w:tcPr>
            <w:tcW w:w="2534" w:type="dxa"/>
            <w:tcBorders>
              <w:top w:val="single" w:color="auto" w:sz="4" w:space="0"/>
              <w:left w:val="single" w:color="auto" w:sz="4" w:space="0"/>
              <w:bottom w:val="single" w:color="auto" w:sz="4" w:space="0"/>
              <w:right w:val="single" w:color="auto" w:sz="4" w:space="0"/>
            </w:tcBorders>
            <w:vAlign w:val="center"/>
          </w:tcPr>
          <w:p w14:paraId="66EF00AA">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符合条件申报对象覆盖率</w:t>
            </w:r>
          </w:p>
        </w:tc>
        <w:tc>
          <w:tcPr>
            <w:tcW w:w="2071" w:type="dxa"/>
            <w:tcBorders>
              <w:top w:val="single" w:color="auto" w:sz="4" w:space="0"/>
              <w:left w:val="single" w:color="auto" w:sz="4" w:space="0"/>
              <w:bottom w:val="single" w:color="auto" w:sz="4" w:space="0"/>
              <w:right w:val="single" w:color="auto" w:sz="4" w:space="0"/>
            </w:tcBorders>
            <w:vAlign w:val="center"/>
          </w:tcPr>
          <w:p w14:paraId="4FA0C369">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100%</w:t>
            </w:r>
          </w:p>
        </w:tc>
        <w:tc>
          <w:tcPr>
            <w:tcW w:w="1726" w:type="dxa"/>
            <w:tcBorders>
              <w:top w:val="single" w:color="auto" w:sz="4" w:space="0"/>
              <w:left w:val="single" w:color="auto" w:sz="4" w:space="0"/>
              <w:bottom w:val="single" w:color="auto" w:sz="4" w:space="0"/>
              <w:right w:val="single" w:color="auto" w:sz="4" w:space="0"/>
            </w:tcBorders>
            <w:vAlign w:val="center"/>
          </w:tcPr>
          <w:p w14:paraId="091741A2">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100%</w:t>
            </w:r>
          </w:p>
        </w:tc>
      </w:tr>
    </w:tbl>
    <w:p w14:paraId="19126034">
      <w:pPr>
        <w:pStyle w:val="6"/>
        <w:widowControl/>
        <w:kinsoku w:val="0"/>
        <w:autoSpaceDE w:val="0"/>
        <w:autoSpaceDN w:val="0"/>
        <w:adjustRightInd w:val="0"/>
        <w:snapToGrid w:val="0"/>
        <w:spacing w:after="0" w:line="580" w:lineRule="exact"/>
        <w:ind w:firstLine="640" w:firstLineChars="200"/>
        <w:textAlignment w:val="baseline"/>
        <w:rPr>
          <w:rFonts w:ascii="仿宋_GB2312" w:hAnsi="仿宋" w:eastAsia="仿宋_GB2312"/>
          <w:sz w:val="32"/>
          <w:szCs w:val="32"/>
          <w:lang w:eastAsia="zh-Hans" w:bidi="ar"/>
        </w:rPr>
      </w:pPr>
      <w:r>
        <w:rPr>
          <w:rFonts w:ascii="仿宋_GB2312" w:hAnsi="仿宋" w:eastAsia="仿宋_GB2312"/>
          <w:sz w:val="32"/>
          <w:szCs w:val="32"/>
          <w:lang w:eastAsia="zh-Hans" w:bidi="ar"/>
        </w:rPr>
        <w:t>（</w:t>
      </w:r>
      <w:r>
        <w:rPr>
          <w:rFonts w:hint="eastAsia" w:ascii="仿宋_GB2312" w:hAnsi="仿宋" w:eastAsia="仿宋_GB2312"/>
          <w:sz w:val="32"/>
          <w:szCs w:val="32"/>
          <w:lang w:bidi="ar"/>
        </w:rPr>
        <w:t>3</w:t>
      </w:r>
      <w:r>
        <w:rPr>
          <w:rFonts w:ascii="仿宋_GB2312" w:hAnsi="仿宋" w:eastAsia="仿宋_GB2312"/>
          <w:sz w:val="32"/>
          <w:szCs w:val="32"/>
          <w:lang w:eastAsia="zh-Hans" w:bidi="ar"/>
        </w:rPr>
        <w:t>）</w:t>
      </w:r>
      <w:r>
        <w:rPr>
          <w:rFonts w:hint="eastAsia" w:ascii="仿宋_GB2312" w:hAnsi="仿宋" w:eastAsia="仿宋_GB2312"/>
          <w:sz w:val="32"/>
          <w:szCs w:val="32"/>
          <w:lang w:bidi="ar"/>
        </w:rPr>
        <w:t>时效</w:t>
      </w:r>
      <w:r>
        <w:rPr>
          <w:rFonts w:hint="eastAsia" w:ascii="仿宋_GB2312" w:hAnsi="仿宋" w:eastAsia="仿宋_GB2312"/>
          <w:sz w:val="32"/>
          <w:szCs w:val="32"/>
          <w:lang w:eastAsia="zh-Hans" w:bidi="ar"/>
        </w:rPr>
        <w:t>指标</w:t>
      </w:r>
    </w:p>
    <w:p w14:paraId="7AD6ED13">
      <w:pPr>
        <w:widowControl/>
        <w:kinsoku w:val="0"/>
        <w:autoSpaceDE w:val="0"/>
        <w:autoSpaceDN w:val="0"/>
        <w:adjustRightInd w:val="0"/>
        <w:snapToGrid w:val="0"/>
        <w:spacing w:line="580" w:lineRule="exact"/>
        <w:ind w:firstLine="640" w:firstLineChars="200"/>
        <w:textAlignment w:val="baseline"/>
        <w:rPr>
          <w:rFonts w:ascii="仿宋_GB2312" w:hAnsi="仿宋_GB2312" w:eastAsia="仿宋_GB2312" w:cs="仿宋_GB2312"/>
          <w:sz w:val="32"/>
          <w:szCs w:val="32"/>
        </w:rPr>
      </w:pPr>
      <w:r>
        <w:rPr>
          <w:rFonts w:hint="eastAsia" w:ascii="仿宋_GB2312" w:hAnsi="仿宋" w:eastAsia="仿宋_GB2312"/>
          <w:color w:val="000000"/>
          <w:sz w:val="32"/>
          <w:szCs w:val="32"/>
          <w:lang w:bidi="ar"/>
        </w:rPr>
        <w:t>2023年北京市计划生育补助资金转移支付项目设定的产出时效指标共</w:t>
      </w:r>
      <w:r>
        <w:rPr>
          <w:rFonts w:ascii="仿宋_GB2312" w:hAnsi="仿宋" w:eastAsia="仿宋_GB2312"/>
          <w:color w:val="000000"/>
          <w:sz w:val="32"/>
          <w:szCs w:val="32"/>
          <w:lang w:bidi="ar"/>
        </w:rPr>
        <w:t>1</w:t>
      </w:r>
      <w:r>
        <w:rPr>
          <w:rFonts w:hint="eastAsia" w:ascii="仿宋_GB2312" w:hAnsi="仿宋" w:eastAsia="仿宋_GB2312"/>
          <w:color w:val="000000"/>
          <w:sz w:val="32"/>
          <w:szCs w:val="32"/>
          <w:lang w:bidi="ar"/>
        </w:rPr>
        <w:t>项，指标已完成，具体情况如下表</w:t>
      </w:r>
      <w:r>
        <w:rPr>
          <w:rFonts w:hint="eastAsia" w:ascii="仿宋_GB2312" w:hAnsi="仿宋" w:eastAsia="仿宋_GB2312"/>
          <w:color w:val="000000"/>
          <w:sz w:val="32"/>
          <w:szCs w:val="32"/>
          <w:lang w:val="en-US" w:eastAsia="zh-CN" w:bidi="ar"/>
        </w:rPr>
        <w:t>3</w:t>
      </w:r>
      <w:r>
        <w:rPr>
          <w:rFonts w:hint="eastAsia" w:ascii="仿宋_GB2312" w:hAnsi="仿宋" w:eastAsia="仿宋_GB2312"/>
          <w:color w:val="000000"/>
          <w:sz w:val="32"/>
          <w:szCs w:val="32"/>
          <w:lang w:bidi="ar"/>
        </w:rPr>
        <w:t>：</w:t>
      </w:r>
    </w:p>
    <w:p w14:paraId="0A0CDCB6">
      <w:pPr>
        <w:pStyle w:val="6"/>
        <w:spacing w:after="0"/>
        <w:jc w:val="center"/>
        <w:rPr>
          <w:rFonts w:ascii="仿宋_GB2312" w:hAnsi="仿宋" w:eastAsia="仿宋_GB2312"/>
          <w:sz w:val="28"/>
          <w:szCs w:val="28"/>
          <w:lang w:eastAsia="zh-Hans" w:bidi="ar"/>
        </w:rPr>
      </w:pP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：产出时效指标完成情况表</w:t>
      </w:r>
    </w:p>
    <w:tbl>
      <w:tblPr>
        <w:tblStyle w:val="12"/>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6"/>
        <w:gridCol w:w="1224"/>
        <w:gridCol w:w="2513"/>
        <w:gridCol w:w="1843"/>
        <w:gridCol w:w="1774"/>
      </w:tblGrid>
      <w:tr w14:paraId="49174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106" w:type="dxa"/>
            <w:tcBorders>
              <w:top w:val="single" w:color="auto" w:sz="4" w:space="0"/>
              <w:left w:val="single" w:color="auto" w:sz="4" w:space="0"/>
              <w:bottom w:val="single" w:color="auto" w:sz="4" w:space="0"/>
              <w:right w:val="single" w:color="auto" w:sz="4" w:space="0"/>
            </w:tcBorders>
            <w:shd w:val="clear" w:color="auto" w:fill="A6A6A6"/>
            <w:vAlign w:val="center"/>
          </w:tcPr>
          <w:p w14:paraId="33B30790">
            <w:pPr>
              <w:widowControl/>
              <w:jc w:val="center"/>
              <w:rPr>
                <w:rFonts w:ascii="宋体" w:hAnsi="宋体" w:eastAsia="宋体" w:cs="宋体"/>
                <w:b/>
                <w:snapToGrid w:val="0"/>
                <w:color w:val="000000"/>
                <w:kern w:val="0"/>
                <w:sz w:val="20"/>
                <w:szCs w:val="20"/>
              </w:rPr>
            </w:pPr>
            <w:r>
              <w:rPr>
                <w:rFonts w:hint="eastAsia" w:ascii="宋体" w:hAnsi="宋体" w:eastAsia="宋体" w:cs="宋体"/>
                <w:b/>
                <w:color w:val="000000"/>
                <w:kern w:val="0"/>
                <w:sz w:val="20"/>
                <w:szCs w:val="20"/>
                <w:lang w:bidi="ar"/>
              </w:rPr>
              <w:t>序号</w:t>
            </w:r>
          </w:p>
        </w:tc>
        <w:tc>
          <w:tcPr>
            <w:tcW w:w="1224" w:type="dxa"/>
            <w:tcBorders>
              <w:top w:val="single" w:color="auto" w:sz="4" w:space="0"/>
              <w:left w:val="single" w:color="auto" w:sz="4" w:space="0"/>
              <w:bottom w:val="single" w:color="auto" w:sz="4" w:space="0"/>
              <w:right w:val="single" w:color="auto" w:sz="4" w:space="0"/>
            </w:tcBorders>
            <w:shd w:val="clear" w:color="auto" w:fill="A6A6A6"/>
            <w:vAlign w:val="center"/>
          </w:tcPr>
          <w:p w14:paraId="4389EC12">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bidi="ar"/>
              </w:rPr>
              <w:t>指标类型</w:t>
            </w:r>
          </w:p>
        </w:tc>
        <w:tc>
          <w:tcPr>
            <w:tcW w:w="2513" w:type="dxa"/>
            <w:tcBorders>
              <w:top w:val="single" w:color="auto" w:sz="4" w:space="0"/>
              <w:left w:val="single" w:color="auto" w:sz="4" w:space="0"/>
              <w:bottom w:val="single" w:color="auto" w:sz="4" w:space="0"/>
              <w:right w:val="single" w:color="auto" w:sz="4" w:space="0"/>
            </w:tcBorders>
            <w:shd w:val="clear" w:color="auto" w:fill="A6A6A6"/>
            <w:vAlign w:val="center"/>
          </w:tcPr>
          <w:p w14:paraId="030382E5">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bidi="ar"/>
              </w:rPr>
              <w:t>三级指标</w:t>
            </w:r>
          </w:p>
        </w:tc>
        <w:tc>
          <w:tcPr>
            <w:tcW w:w="1843" w:type="dxa"/>
            <w:tcBorders>
              <w:top w:val="single" w:color="auto" w:sz="4" w:space="0"/>
              <w:left w:val="single" w:color="auto" w:sz="4" w:space="0"/>
              <w:bottom w:val="single" w:color="auto" w:sz="4" w:space="0"/>
              <w:right w:val="single" w:color="auto" w:sz="4" w:space="0"/>
            </w:tcBorders>
            <w:shd w:val="clear" w:color="auto" w:fill="A6A6A6"/>
            <w:vAlign w:val="center"/>
          </w:tcPr>
          <w:p w14:paraId="7EEE2973">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bidi="ar"/>
              </w:rPr>
              <w:t>指标值</w:t>
            </w:r>
          </w:p>
        </w:tc>
        <w:tc>
          <w:tcPr>
            <w:tcW w:w="1774" w:type="dxa"/>
            <w:tcBorders>
              <w:top w:val="single" w:color="auto" w:sz="4" w:space="0"/>
              <w:left w:val="single" w:color="auto" w:sz="4" w:space="0"/>
              <w:bottom w:val="single" w:color="auto" w:sz="4" w:space="0"/>
              <w:right w:val="single" w:color="auto" w:sz="4" w:space="0"/>
            </w:tcBorders>
            <w:shd w:val="clear" w:color="auto" w:fill="A6A6A6"/>
            <w:vAlign w:val="center"/>
          </w:tcPr>
          <w:p w14:paraId="31E3A0AD">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bidi="ar"/>
              </w:rPr>
              <w:t>实际完成值</w:t>
            </w:r>
          </w:p>
        </w:tc>
      </w:tr>
      <w:tr w14:paraId="4AC04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106" w:type="dxa"/>
            <w:tcBorders>
              <w:top w:val="single" w:color="auto" w:sz="4" w:space="0"/>
              <w:left w:val="single" w:color="auto" w:sz="4" w:space="0"/>
              <w:bottom w:val="single" w:color="auto" w:sz="4" w:space="0"/>
              <w:right w:val="single" w:color="auto" w:sz="4" w:space="0"/>
            </w:tcBorders>
            <w:vAlign w:val="center"/>
          </w:tcPr>
          <w:p w14:paraId="1276583A">
            <w:pPr>
              <w:widowControl/>
              <w:jc w:val="center"/>
              <w:rPr>
                <w:rFonts w:ascii="宋体" w:hAnsi="宋体" w:eastAsia="宋体" w:cs="宋体"/>
                <w:snapToGrid w:val="0"/>
                <w:color w:val="000000"/>
                <w:kern w:val="0"/>
                <w:sz w:val="20"/>
                <w:szCs w:val="20"/>
              </w:rPr>
            </w:pPr>
            <w:r>
              <w:rPr>
                <w:rFonts w:hint="eastAsia" w:ascii="宋体" w:hAnsi="宋体" w:eastAsia="宋体" w:cs="宋体"/>
                <w:sz w:val="20"/>
                <w:szCs w:val="20"/>
                <w:lang w:bidi="ar"/>
              </w:rPr>
              <w:t>1</w:t>
            </w:r>
          </w:p>
        </w:tc>
        <w:tc>
          <w:tcPr>
            <w:tcW w:w="1224" w:type="dxa"/>
            <w:tcBorders>
              <w:top w:val="single" w:color="auto" w:sz="4" w:space="0"/>
              <w:left w:val="single" w:color="auto" w:sz="4" w:space="0"/>
              <w:bottom w:val="single" w:color="auto" w:sz="4" w:space="0"/>
              <w:right w:val="single" w:color="auto" w:sz="4" w:space="0"/>
            </w:tcBorders>
            <w:vAlign w:val="center"/>
          </w:tcPr>
          <w:p w14:paraId="3C12026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时效指标</w:t>
            </w:r>
          </w:p>
        </w:tc>
        <w:tc>
          <w:tcPr>
            <w:tcW w:w="2513" w:type="dxa"/>
            <w:tcBorders>
              <w:top w:val="single" w:color="auto" w:sz="4" w:space="0"/>
              <w:left w:val="single" w:color="auto" w:sz="4" w:space="0"/>
              <w:bottom w:val="single" w:color="auto" w:sz="4" w:space="0"/>
              <w:right w:val="single" w:color="auto" w:sz="4" w:space="0"/>
            </w:tcBorders>
            <w:vAlign w:val="center"/>
          </w:tcPr>
          <w:p w14:paraId="6FC29CE5">
            <w:pPr>
              <w:widowControl/>
              <w:jc w:val="center"/>
              <w:textAlignment w:val="center"/>
              <w:rPr>
                <w:rFonts w:ascii="宋体" w:hAnsi="宋体" w:eastAsia="宋体" w:cs="宋体"/>
                <w:snapToGrid w:val="0"/>
                <w:color w:val="000000"/>
                <w:kern w:val="0"/>
                <w:sz w:val="20"/>
                <w:szCs w:val="20"/>
                <w:lang w:bidi="ar"/>
              </w:rPr>
            </w:pPr>
            <w:r>
              <w:rPr>
                <w:rFonts w:hint="eastAsia" w:ascii="宋体" w:hAnsi="宋体" w:eastAsia="宋体" w:cs="宋体"/>
                <w:color w:val="000000"/>
                <w:kern w:val="0"/>
                <w:sz w:val="20"/>
                <w:szCs w:val="20"/>
                <w:lang w:bidi="ar"/>
              </w:rPr>
              <w:t>奖励和扶助资金到位率</w:t>
            </w:r>
          </w:p>
        </w:tc>
        <w:tc>
          <w:tcPr>
            <w:tcW w:w="1843" w:type="dxa"/>
            <w:tcBorders>
              <w:top w:val="single" w:color="auto" w:sz="4" w:space="0"/>
              <w:left w:val="single" w:color="auto" w:sz="4" w:space="0"/>
              <w:bottom w:val="single" w:color="auto" w:sz="4" w:space="0"/>
              <w:right w:val="single" w:color="auto" w:sz="4" w:space="0"/>
            </w:tcBorders>
            <w:vAlign w:val="center"/>
          </w:tcPr>
          <w:p w14:paraId="74C0221F">
            <w:pPr>
              <w:widowControl/>
              <w:jc w:val="center"/>
              <w:textAlignment w:val="center"/>
              <w:rPr>
                <w:rFonts w:ascii="宋体" w:hAnsi="宋体" w:eastAsia="宋体" w:cs="宋体"/>
                <w:snapToGrid w:val="0"/>
                <w:color w:val="000000"/>
                <w:kern w:val="0"/>
                <w:sz w:val="20"/>
                <w:szCs w:val="20"/>
                <w:lang w:bidi="ar"/>
              </w:rPr>
            </w:pPr>
            <w:r>
              <w:rPr>
                <w:rFonts w:hint="eastAsia" w:ascii="宋体" w:hAnsi="宋体" w:eastAsia="宋体" w:cs="宋体"/>
                <w:snapToGrid w:val="0"/>
                <w:color w:val="000000"/>
                <w:kern w:val="0"/>
                <w:sz w:val="20"/>
                <w:szCs w:val="20"/>
                <w:lang w:bidi="ar"/>
              </w:rPr>
              <w:t>100%</w:t>
            </w:r>
          </w:p>
        </w:tc>
        <w:tc>
          <w:tcPr>
            <w:tcW w:w="1774" w:type="dxa"/>
            <w:tcBorders>
              <w:top w:val="single" w:color="auto" w:sz="4" w:space="0"/>
              <w:left w:val="single" w:color="auto" w:sz="4" w:space="0"/>
              <w:bottom w:val="single" w:color="auto" w:sz="4" w:space="0"/>
              <w:right w:val="single" w:color="auto" w:sz="4" w:space="0"/>
            </w:tcBorders>
            <w:vAlign w:val="center"/>
          </w:tcPr>
          <w:p w14:paraId="4604BE90">
            <w:pPr>
              <w:widowControl/>
              <w:jc w:val="center"/>
              <w:textAlignment w:val="center"/>
              <w:rPr>
                <w:rFonts w:ascii="宋体" w:hAnsi="宋体" w:eastAsia="宋体" w:cs="宋体"/>
                <w:snapToGrid w:val="0"/>
                <w:color w:val="000000"/>
                <w:kern w:val="0"/>
                <w:sz w:val="20"/>
                <w:szCs w:val="20"/>
                <w:lang w:bidi="ar"/>
              </w:rPr>
            </w:pPr>
            <w:r>
              <w:rPr>
                <w:rFonts w:hint="eastAsia" w:ascii="宋体" w:hAnsi="宋体" w:eastAsia="宋体" w:cs="宋体"/>
                <w:snapToGrid w:val="0"/>
                <w:color w:val="000000"/>
                <w:kern w:val="0"/>
                <w:sz w:val="20"/>
                <w:szCs w:val="20"/>
                <w:lang w:bidi="ar"/>
              </w:rPr>
              <w:t>100%</w:t>
            </w:r>
          </w:p>
        </w:tc>
      </w:tr>
    </w:tbl>
    <w:p w14:paraId="4E5D461A">
      <w:pPr>
        <w:pStyle w:val="6"/>
        <w:widowControl/>
        <w:kinsoku w:val="0"/>
        <w:autoSpaceDE w:val="0"/>
        <w:autoSpaceDN w:val="0"/>
        <w:adjustRightInd w:val="0"/>
        <w:snapToGrid w:val="0"/>
        <w:spacing w:after="0" w:line="580" w:lineRule="exact"/>
        <w:ind w:firstLine="640" w:firstLineChars="200"/>
        <w:textAlignment w:val="baseline"/>
        <w:rPr>
          <w:rFonts w:ascii="仿宋_GB2312" w:hAnsi="仿宋" w:eastAsia="仿宋_GB2312"/>
          <w:sz w:val="32"/>
          <w:szCs w:val="32"/>
          <w:lang w:eastAsia="zh-Hans" w:bidi="ar"/>
        </w:rPr>
      </w:pPr>
      <w:r>
        <w:rPr>
          <w:rFonts w:ascii="仿宋_GB2312" w:hAnsi="仿宋" w:eastAsia="仿宋_GB2312"/>
          <w:sz w:val="32"/>
          <w:szCs w:val="32"/>
          <w:lang w:eastAsia="zh-Hans" w:bidi="ar"/>
        </w:rPr>
        <w:t>（</w:t>
      </w:r>
      <w:r>
        <w:rPr>
          <w:rFonts w:hint="eastAsia" w:ascii="仿宋_GB2312" w:hAnsi="仿宋" w:eastAsia="仿宋_GB2312"/>
          <w:sz w:val="32"/>
          <w:szCs w:val="32"/>
          <w:lang w:bidi="ar"/>
        </w:rPr>
        <w:t>4</w:t>
      </w:r>
      <w:r>
        <w:rPr>
          <w:rFonts w:ascii="仿宋_GB2312" w:hAnsi="仿宋" w:eastAsia="仿宋_GB2312"/>
          <w:sz w:val="32"/>
          <w:szCs w:val="32"/>
          <w:lang w:eastAsia="zh-Hans" w:bidi="ar"/>
        </w:rPr>
        <w:t>）</w:t>
      </w:r>
      <w:r>
        <w:rPr>
          <w:rFonts w:hint="eastAsia" w:ascii="仿宋_GB2312" w:hAnsi="仿宋" w:eastAsia="仿宋_GB2312"/>
          <w:sz w:val="32"/>
          <w:szCs w:val="32"/>
          <w:lang w:bidi="ar"/>
        </w:rPr>
        <w:t>成本</w:t>
      </w:r>
      <w:r>
        <w:rPr>
          <w:rFonts w:hint="eastAsia" w:ascii="仿宋_GB2312" w:hAnsi="仿宋" w:eastAsia="仿宋_GB2312"/>
          <w:sz w:val="32"/>
          <w:szCs w:val="32"/>
          <w:lang w:eastAsia="zh-Hans" w:bidi="ar"/>
        </w:rPr>
        <w:t>指标</w:t>
      </w:r>
    </w:p>
    <w:p w14:paraId="6C89BA1C">
      <w:pPr>
        <w:pStyle w:val="6"/>
        <w:widowControl/>
        <w:kinsoku w:val="0"/>
        <w:autoSpaceDE w:val="0"/>
        <w:autoSpaceDN w:val="0"/>
        <w:adjustRightInd w:val="0"/>
        <w:snapToGrid w:val="0"/>
        <w:spacing w:after="0" w:line="580" w:lineRule="exact"/>
        <w:ind w:firstLine="640" w:firstLineChars="200"/>
        <w:textAlignment w:val="baseline"/>
        <w:rPr>
          <w:rFonts w:ascii="仿宋_GB2312" w:hAnsi="仿宋" w:eastAsia="仿宋_GB2312"/>
          <w:sz w:val="32"/>
          <w:szCs w:val="32"/>
          <w:lang w:eastAsia="zh-Hans" w:bidi="ar"/>
        </w:rPr>
      </w:pPr>
      <w:r>
        <w:rPr>
          <w:rFonts w:hint="eastAsia" w:ascii="仿宋_GB2312" w:hAnsi="仿宋" w:eastAsia="仿宋_GB2312"/>
          <w:color w:val="000000"/>
          <w:sz w:val="32"/>
          <w:szCs w:val="32"/>
          <w:lang w:bidi="ar"/>
        </w:rPr>
        <w:t>2023年北京市计划生育补助资金转移支付项目</w:t>
      </w:r>
      <w:r>
        <w:rPr>
          <w:rFonts w:hint="eastAsia" w:ascii="仿宋_GB2312" w:hAnsi="仿宋" w:eastAsia="仿宋_GB2312"/>
          <w:sz w:val="32"/>
          <w:szCs w:val="32"/>
          <w:lang w:bidi="ar"/>
        </w:rPr>
        <w:t>设定的产出成本指标共</w:t>
      </w:r>
      <w:r>
        <w:rPr>
          <w:rFonts w:ascii="仿宋_GB2312" w:hAnsi="仿宋" w:eastAsia="仿宋_GB2312"/>
          <w:sz w:val="32"/>
          <w:szCs w:val="32"/>
          <w:lang w:bidi="ar"/>
        </w:rPr>
        <w:t>4</w:t>
      </w:r>
      <w:r>
        <w:rPr>
          <w:rFonts w:hint="eastAsia" w:ascii="仿宋_GB2312" w:hAnsi="仿宋" w:eastAsia="仿宋_GB2312"/>
          <w:sz w:val="32"/>
          <w:szCs w:val="32"/>
          <w:lang w:bidi="ar"/>
        </w:rPr>
        <w:t>项，均</w:t>
      </w:r>
      <w:r>
        <w:rPr>
          <w:rFonts w:hint="eastAsia" w:ascii="仿宋_GB2312" w:hAnsi="仿宋" w:eastAsia="仿宋_GB2312"/>
          <w:sz w:val="32"/>
          <w:szCs w:val="32"/>
          <w:lang w:eastAsia="zh-Hans" w:bidi="ar"/>
        </w:rPr>
        <w:t>已完成</w:t>
      </w:r>
      <w:r>
        <w:rPr>
          <w:rFonts w:ascii="仿宋_GB2312" w:hAnsi="仿宋" w:eastAsia="仿宋_GB2312"/>
          <w:sz w:val="32"/>
          <w:szCs w:val="32"/>
          <w:lang w:eastAsia="zh-Hans" w:bidi="ar"/>
        </w:rPr>
        <w:t>，</w:t>
      </w:r>
      <w:r>
        <w:rPr>
          <w:rFonts w:hint="eastAsia" w:ascii="仿宋_GB2312" w:hAnsi="仿宋" w:eastAsia="仿宋_GB2312"/>
          <w:sz w:val="32"/>
          <w:szCs w:val="32"/>
          <w:lang w:eastAsia="zh-Hans" w:bidi="ar"/>
        </w:rPr>
        <w:t>具体情况如下表</w:t>
      </w:r>
      <w:r>
        <w:rPr>
          <w:rFonts w:hint="eastAsia" w:ascii="仿宋_GB2312" w:hAnsi="仿宋" w:eastAsia="仿宋_GB2312"/>
          <w:sz w:val="32"/>
          <w:szCs w:val="32"/>
          <w:lang w:val="en-US" w:eastAsia="zh-CN" w:bidi="ar"/>
        </w:rPr>
        <w:t>4</w:t>
      </w:r>
      <w:r>
        <w:rPr>
          <w:rFonts w:ascii="仿宋_GB2312" w:hAnsi="仿宋" w:eastAsia="仿宋_GB2312"/>
          <w:sz w:val="32"/>
          <w:szCs w:val="32"/>
          <w:lang w:eastAsia="zh-Hans" w:bidi="ar"/>
        </w:rPr>
        <w:t>：</w:t>
      </w:r>
    </w:p>
    <w:p w14:paraId="725A5852">
      <w:pPr>
        <w:pStyle w:val="6"/>
        <w:spacing w:after="0"/>
        <w:jc w:val="center"/>
        <w:rPr>
          <w:rFonts w:ascii="仿宋_GB2312" w:hAnsi="仿宋" w:eastAsia="仿宋_GB2312"/>
          <w:sz w:val="28"/>
          <w:szCs w:val="28"/>
          <w:lang w:eastAsia="zh-Hans" w:bidi="ar"/>
        </w:rPr>
      </w:pP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：产出成本指标完成情况表</w:t>
      </w:r>
    </w:p>
    <w:tbl>
      <w:tblPr>
        <w:tblStyle w:val="12"/>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1301"/>
        <w:gridCol w:w="2599"/>
        <w:gridCol w:w="1937"/>
        <w:gridCol w:w="1774"/>
      </w:tblGrid>
      <w:tr w14:paraId="09658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49" w:type="dxa"/>
            <w:tcBorders>
              <w:top w:val="single" w:color="auto" w:sz="4" w:space="0"/>
              <w:left w:val="single" w:color="auto" w:sz="4" w:space="0"/>
              <w:bottom w:val="single" w:color="auto" w:sz="4" w:space="0"/>
              <w:right w:val="single" w:color="auto" w:sz="4" w:space="0"/>
            </w:tcBorders>
            <w:shd w:val="clear" w:color="auto" w:fill="A6A6A6"/>
            <w:vAlign w:val="center"/>
          </w:tcPr>
          <w:p w14:paraId="79A3BD41">
            <w:pPr>
              <w:widowControl/>
              <w:jc w:val="center"/>
              <w:rPr>
                <w:rFonts w:asciiTheme="minorEastAsia" w:hAnsiTheme="minorEastAsia" w:cstheme="minorEastAsia"/>
                <w:b/>
                <w:snapToGrid w:val="0"/>
                <w:color w:val="000000"/>
                <w:kern w:val="0"/>
                <w:sz w:val="20"/>
                <w:szCs w:val="20"/>
              </w:rPr>
            </w:pPr>
            <w:r>
              <w:rPr>
                <w:rFonts w:hint="eastAsia" w:asciiTheme="minorEastAsia" w:hAnsiTheme="minorEastAsia" w:cstheme="minorEastAsia"/>
                <w:b/>
                <w:color w:val="000000"/>
                <w:kern w:val="0"/>
                <w:sz w:val="20"/>
                <w:szCs w:val="20"/>
                <w:lang w:bidi="ar"/>
              </w:rPr>
              <w:t>序号</w:t>
            </w:r>
          </w:p>
        </w:tc>
        <w:tc>
          <w:tcPr>
            <w:tcW w:w="1301" w:type="dxa"/>
            <w:tcBorders>
              <w:top w:val="single" w:color="auto" w:sz="4" w:space="0"/>
              <w:left w:val="single" w:color="auto" w:sz="4" w:space="0"/>
              <w:bottom w:val="single" w:color="auto" w:sz="4" w:space="0"/>
              <w:right w:val="single" w:color="auto" w:sz="4" w:space="0"/>
            </w:tcBorders>
            <w:shd w:val="clear" w:color="auto" w:fill="A6A6A6"/>
            <w:vAlign w:val="center"/>
          </w:tcPr>
          <w:p w14:paraId="1932762D">
            <w:pPr>
              <w:widowControl/>
              <w:jc w:val="center"/>
              <w:rPr>
                <w:rFonts w:asciiTheme="minorEastAsia" w:hAnsiTheme="minorEastAsia" w:cstheme="minorEastAsia"/>
                <w:b/>
                <w:color w:val="000000"/>
                <w:kern w:val="0"/>
                <w:sz w:val="20"/>
                <w:szCs w:val="20"/>
              </w:rPr>
            </w:pPr>
            <w:r>
              <w:rPr>
                <w:rFonts w:hint="eastAsia" w:asciiTheme="minorEastAsia" w:hAnsiTheme="minorEastAsia" w:cstheme="minorEastAsia"/>
                <w:b/>
                <w:color w:val="000000"/>
                <w:kern w:val="0"/>
                <w:sz w:val="20"/>
                <w:szCs w:val="20"/>
                <w:lang w:bidi="ar"/>
              </w:rPr>
              <w:t>指标类型</w:t>
            </w:r>
          </w:p>
        </w:tc>
        <w:tc>
          <w:tcPr>
            <w:tcW w:w="2599" w:type="dxa"/>
            <w:tcBorders>
              <w:top w:val="single" w:color="auto" w:sz="4" w:space="0"/>
              <w:left w:val="single" w:color="auto" w:sz="4" w:space="0"/>
              <w:bottom w:val="single" w:color="auto" w:sz="4" w:space="0"/>
              <w:right w:val="single" w:color="auto" w:sz="4" w:space="0"/>
            </w:tcBorders>
            <w:shd w:val="clear" w:color="auto" w:fill="A6A6A6"/>
            <w:vAlign w:val="center"/>
          </w:tcPr>
          <w:p w14:paraId="0CBBA244">
            <w:pPr>
              <w:widowControl/>
              <w:jc w:val="center"/>
              <w:rPr>
                <w:rFonts w:asciiTheme="minorEastAsia" w:hAnsiTheme="minorEastAsia" w:cstheme="minorEastAsia"/>
                <w:b/>
                <w:color w:val="000000"/>
                <w:kern w:val="0"/>
                <w:sz w:val="20"/>
                <w:szCs w:val="20"/>
              </w:rPr>
            </w:pPr>
            <w:r>
              <w:rPr>
                <w:rFonts w:hint="eastAsia" w:asciiTheme="minorEastAsia" w:hAnsiTheme="minorEastAsia" w:cstheme="minorEastAsia"/>
                <w:b/>
                <w:color w:val="000000"/>
                <w:kern w:val="0"/>
                <w:sz w:val="20"/>
                <w:szCs w:val="20"/>
                <w:lang w:bidi="ar"/>
              </w:rPr>
              <w:t>三级指标</w:t>
            </w:r>
          </w:p>
        </w:tc>
        <w:tc>
          <w:tcPr>
            <w:tcW w:w="1937" w:type="dxa"/>
            <w:tcBorders>
              <w:top w:val="single" w:color="auto" w:sz="4" w:space="0"/>
              <w:left w:val="single" w:color="auto" w:sz="4" w:space="0"/>
              <w:bottom w:val="single" w:color="auto" w:sz="4" w:space="0"/>
              <w:right w:val="single" w:color="auto" w:sz="4" w:space="0"/>
            </w:tcBorders>
            <w:shd w:val="clear" w:color="auto" w:fill="A6A6A6"/>
            <w:vAlign w:val="center"/>
          </w:tcPr>
          <w:p w14:paraId="717E95DD">
            <w:pPr>
              <w:widowControl/>
              <w:jc w:val="center"/>
              <w:rPr>
                <w:rFonts w:asciiTheme="minorEastAsia" w:hAnsiTheme="minorEastAsia" w:cstheme="minorEastAsia"/>
                <w:b/>
                <w:color w:val="000000"/>
                <w:kern w:val="0"/>
                <w:sz w:val="20"/>
                <w:szCs w:val="20"/>
              </w:rPr>
            </w:pPr>
            <w:r>
              <w:rPr>
                <w:rFonts w:hint="eastAsia" w:asciiTheme="minorEastAsia" w:hAnsiTheme="minorEastAsia" w:cstheme="minorEastAsia"/>
                <w:b/>
                <w:color w:val="000000"/>
                <w:kern w:val="0"/>
                <w:sz w:val="20"/>
                <w:szCs w:val="20"/>
                <w:lang w:bidi="ar"/>
              </w:rPr>
              <w:t>指标值</w:t>
            </w:r>
          </w:p>
        </w:tc>
        <w:tc>
          <w:tcPr>
            <w:tcW w:w="1774" w:type="dxa"/>
            <w:tcBorders>
              <w:top w:val="single" w:color="auto" w:sz="4" w:space="0"/>
              <w:left w:val="single" w:color="auto" w:sz="4" w:space="0"/>
              <w:bottom w:val="single" w:color="auto" w:sz="4" w:space="0"/>
              <w:right w:val="single" w:color="auto" w:sz="4" w:space="0"/>
            </w:tcBorders>
            <w:shd w:val="clear" w:color="auto" w:fill="A6A6A6"/>
            <w:vAlign w:val="center"/>
          </w:tcPr>
          <w:p w14:paraId="66F2BDCA">
            <w:pPr>
              <w:widowControl/>
              <w:jc w:val="center"/>
              <w:rPr>
                <w:rFonts w:asciiTheme="minorEastAsia" w:hAnsiTheme="minorEastAsia" w:cstheme="minorEastAsia"/>
                <w:b/>
                <w:color w:val="000000"/>
                <w:kern w:val="0"/>
                <w:sz w:val="20"/>
                <w:szCs w:val="20"/>
              </w:rPr>
            </w:pPr>
            <w:r>
              <w:rPr>
                <w:rFonts w:hint="eastAsia" w:asciiTheme="minorEastAsia" w:hAnsiTheme="minorEastAsia" w:cstheme="minorEastAsia"/>
                <w:b/>
                <w:color w:val="000000"/>
                <w:kern w:val="0"/>
                <w:sz w:val="20"/>
                <w:szCs w:val="20"/>
                <w:lang w:bidi="ar"/>
              </w:rPr>
              <w:t>实际完成值</w:t>
            </w:r>
          </w:p>
        </w:tc>
      </w:tr>
      <w:tr w14:paraId="1FCC6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14:paraId="6C0BAC66">
            <w:pPr>
              <w:widowControl/>
              <w:jc w:val="center"/>
              <w:textAlignment w:val="center"/>
              <w:rPr>
                <w:rFonts w:asciiTheme="minorEastAsia" w:hAnsiTheme="minorEastAsia" w:cstheme="minorEastAsia"/>
                <w:snapToGrid w:val="0"/>
                <w:color w:val="000000"/>
                <w:kern w:val="0"/>
                <w:sz w:val="20"/>
                <w:szCs w:val="20"/>
              </w:rPr>
            </w:pPr>
            <w:r>
              <w:rPr>
                <w:rFonts w:hint="eastAsia" w:asciiTheme="minorEastAsia" w:hAnsiTheme="minorEastAsia" w:cstheme="minorEastAsia"/>
                <w:snapToGrid w:val="0"/>
                <w:kern w:val="0"/>
                <w:sz w:val="20"/>
                <w:szCs w:val="20"/>
                <w:lang w:bidi="ar"/>
              </w:rPr>
              <w:t>1</w:t>
            </w:r>
          </w:p>
        </w:tc>
        <w:tc>
          <w:tcPr>
            <w:tcW w:w="1301" w:type="dxa"/>
            <w:tcBorders>
              <w:top w:val="single" w:color="auto" w:sz="4" w:space="0"/>
              <w:left w:val="single" w:color="auto" w:sz="4" w:space="0"/>
              <w:bottom w:val="single" w:color="auto" w:sz="4" w:space="0"/>
              <w:right w:val="single" w:color="auto" w:sz="4" w:space="0"/>
            </w:tcBorders>
            <w:vAlign w:val="center"/>
          </w:tcPr>
          <w:p w14:paraId="6DFA7D4A">
            <w:pPr>
              <w:widowControl/>
              <w:spacing w:after="156" w:afterLines="50"/>
              <w:jc w:val="center"/>
              <w:rPr>
                <w:rFonts w:asciiTheme="minorEastAsia" w:hAnsiTheme="minorEastAsia" w:cstheme="minorEastAsia"/>
                <w:sz w:val="20"/>
                <w:szCs w:val="20"/>
              </w:rPr>
            </w:pPr>
            <w:r>
              <w:rPr>
                <w:rFonts w:hint="eastAsia" w:asciiTheme="minorEastAsia" w:hAnsiTheme="minorEastAsia" w:cstheme="minorEastAsia"/>
                <w:sz w:val="20"/>
                <w:szCs w:val="20"/>
                <w:lang w:bidi="ar"/>
              </w:rPr>
              <w:t>成本指标</w:t>
            </w:r>
          </w:p>
        </w:tc>
        <w:tc>
          <w:tcPr>
            <w:tcW w:w="2599" w:type="dxa"/>
            <w:tcBorders>
              <w:top w:val="single" w:color="auto" w:sz="4" w:space="0"/>
              <w:left w:val="single" w:color="auto" w:sz="4" w:space="0"/>
              <w:bottom w:val="single" w:color="auto" w:sz="4" w:space="0"/>
              <w:right w:val="single" w:color="auto" w:sz="4" w:space="0"/>
            </w:tcBorders>
            <w:vAlign w:val="center"/>
          </w:tcPr>
          <w:p w14:paraId="2AC24D1B">
            <w:pPr>
              <w:widowControl/>
              <w:jc w:val="center"/>
              <w:textAlignment w:val="center"/>
              <w:rPr>
                <w:rFonts w:asciiTheme="minorEastAsia" w:hAnsiTheme="minorEastAsia" w:cstheme="minorEastAsia"/>
                <w:sz w:val="20"/>
                <w:szCs w:val="20"/>
              </w:rPr>
            </w:pPr>
            <w:r>
              <w:rPr>
                <w:rFonts w:hint="eastAsia" w:ascii="宋体" w:hAnsi="宋体" w:eastAsia="宋体" w:cs="宋体"/>
                <w:color w:val="000000"/>
                <w:kern w:val="0"/>
                <w:sz w:val="20"/>
                <w:szCs w:val="20"/>
                <w:lang w:bidi="ar"/>
              </w:rPr>
              <w:t>独生子女伤残家庭扶助金发放标准</w:t>
            </w:r>
          </w:p>
        </w:tc>
        <w:tc>
          <w:tcPr>
            <w:tcW w:w="1937" w:type="dxa"/>
            <w:tcBorders>
              <w:top w:val="single" w:color="auto" w:sz="4" w:space="0"/>
              <w:left w:val="single" w:color="auto" w:sz="4" w:space="0"/>
              <w:bottom w:val="single" w:color="auto" w:sz="4" w:space="0"/>
              <w:right w:val="single" w:color="auto" w:sz="4" w:space="0"/>
            </w:tcBorders>
            <w:vAlign w:val="center"/>
          </w:tcPr>
          <w:p w14:paraId="1B414E58">
            <w:pPr>
              <w:widowControl/>
              <w:jc w:val="center"/>
              <w:textAlignment w:val="center"/>
              <w:rPr>
                <w:rFonts w:asciiTheme="minorEastAsia" w:hAnsiTheme="minorEastAsia" w:cstheme="minorEastAsia"/>
                <w:sz w:val="20"/>
                <w:szCs w:val="20"/>
              </w:rPr>
            </w:pPr>
            <w:r>
              <w:rPr>
                <w:rFonts w:hint="eastAsia" w:ascii="宋体" w:hAnsi="宋体" w:eastAsia="宋体" w:cs="宋体"/>
                <w:color w:val="000000"/>
                <w:kern w:val="0"/>
                <w:sz w:val="20"/>
                <w:szCs w:val="20"/>
                <w:lang w:bidi="ar"/>
              </w:rPr>
              <w:t>460元/人/月</w:t>
            </w:r>
          </w:p>
        </w:tc>
        <w:tc>
          <w:tcPr>
            <w:tcW w:w="1774" w:type="dxa"/>
            <w:tcBorders>
              <w:top w:val="single" w:color="auto" w:sz="4" w:space="0"/>
              <w:left w:val="single" w:color="auto" w:sz="4" w:space="0"/>
              <w:bottom w:val="single" w:color="auto" w:sz="4" w:space="0"/>
              <w:right w:val="single" w:color="auto" w:sz="4" w:space="0"/>
            </w:tcBorders>
            <w:vAlign w:val="center"/>
          </w:tcPr>
          <w:p w14:paraId="6ED7C356">
            <w:pPr>
              <w:widowControl/>
              <w:jc w:val="center"/>
              <w:textAlignment w:val="center"/>
              <w:rPr>
                <w:rFonts w:asciiTheme="minorEastAsia" w:hAnsiTheme="minorEastAsia" w:cstheme="minorEastAsia"/>
                <w:sz w:val="20"/>
                <w:szCs w:val="20"/>
              </w:rPr>
            </w:pPr>
            <w:r>
              <w:rPr>
                <w:rFonts w:hint="eastAsia" w:ascii="宋体" w:hAnsi="宋体" w:eastAsia="宋体" w:cs="宋体"/>
                <w:color w:val="000000"/>
                <w:kern w:val="0"/>
                <w:sz w:val="20"/>
                <w:szCs w:val="20"/>
                <w:lang w:bidi="ar"/>
              </w:rPr>
              <w:t>740元/人/月</w:t>
            </w:r>
          </w:p>
        </w:tc>
      </w:tr>
      <w:tr w14:paraId="1211E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14:paraId="10525BEE">
            <w:pPr>
              <w:widowControl/>
              <w:jc w:val="center"/>
              <w:textAlignment w:val="center"/>
              <w:rPr>
                <w:rFonts w:asciiTheme="minorEastAsia" w:hAnsiTheme="minorEastAsia" w:cstheme="minorEastAsia"/>
                <w:snapToGrid w:val="0"/>
                <w:color w:val="000000"/>
                <w:kern w:val="0"/>
                <w:sz w:val="20"/>
                <w:szCs w:val="20"/>
                <w:lang w:bidi="ar"/>
              </w:rPr>
            </w:pPr>
            <w:r>
              <w:rPr>
                <w:rFonts w:hint="eastAsia" w:asciiTheme="minorEastAsia" w:hAnsiTheme="minorEastAsia" w:cstheme="minorEastAsia"/>
                <w:snapToGrid w:val="0"/>
                <w:kern w:val="0"/>
                <w:sz w:val="20"/>
                <w:szCs w:val="20"/>
                <w:lang w:bidi="ar"/>
              </w:rPr>
              <w:t>2</w:t>
            </w:r>
          </w:p>
        </w:tc>
        <w:tc>
          <w:tcPr>
            <w:tcW w:w="1301" w:type="dxa"/>
            <w:tcBorders>
              <w:top w:val="single" w:color="auto" w:sz="4" w:space="0"/>
              <w:left w:val="single" w:color="auto" w:sz="4" w:space="0"/>
              <w:bottom w:val="single" w:color="auto" w:sz="4" w:space="0"/>
              <w:right w:val="single" w:color="auto" w:sz="4" w:space="0"/>
            </w:tcBorders>
            <w:vAlign w:val="center"/>
          </w:tcPr>
          <w:p w14:paraId="0C63D5F4">
            <w:pPr>
              <w:widowControl/>
              <w:spacing w:after="156" w:afterLines="50"/>
              <w:jc w:val="center"/>
              <w:rPr>
                <w:rFonts w:asciiTheme="minorEastAsia" w:hAnsiTheme="minorEastAsia" w:cstheme="minorEastAsia"/>
                <w:sz w:val="20"/>
                <w:szCs w:val="20"/>
                <w:lang w:eastAsia="zh-Hans" w:bidi="ar"/>
              </w:rPr>
            </w:pPr>
            <w:r>
              <w:rPr>
                <w:rFonts w:hint="eastAsia" w:asciiTheme="minorEastAsia" w:hAnsiTheme="minorEastAsia" w:cstheme="minorEastAsia"/>
                <w:sz w:val="20"/>
                <w:szCs w:val="20"/>
                <w:lang w:bidi="ar"/>
              </w:rPr>
              <w:t>成本指标</w:t>
            </w:r>
          </w:p>
        </w:tc>
        <w:tc>
          <w:tcPr>
            <w:tcW w:w="2599" w:type="dxa"/>
            <w:tcBorders>
              <w:top w:val="single" w:color="auto" w:sz="4" w:space="0"/>
              <w:left w:val="single" w:color="auto" w:sz="4" w:space="0"/>
              <w:bottom w:val="single" w:color="auto" w:sz="4" w:space="0"/>
              <w:right w:val="single" w:color="auto" w:sz="4" w:space="0"/>
            </w:tcBorders>
            <w:vAlign w:val="center"/>
          </w:tcPr>
          <w:p w14:paraId="22DD660D">
            <w:pPr>
              <w:widowControl/>
              <w:jc w:val="center"/>
              <w:textAlignment w:val="center"/>
              <w:rPr>
                <w:rFonts w:asciiTheme="minorEastAsia" w:hAnsiTheme="minorEastAsia" w:cstheme="minorEastAsia"/>
                <w:sz w:val="20"/>
                <w:szCs w:val="20"/>
                <w:lang w:bidi="ar"/>
              </w:rPr>
            </w:pPr>
            <w:r>
              <w:rPr>
                <w:rFonts w:hint="eastAsia" w:ascii="宋体" w:hAnsi="宋体" w:eastAsia="宋体" w:cs="宋体"/>
                <w:color w:val="000000"/>
                <w:kern w:val="0"/>
                <w:sz w:val="20"/>
                <w:szCs w:val="20"/>
                <w:lang w:bidi="ar"/>
              </w:rPr>
              <w:t>独生子女死亡家庭扶助金发放标准</w:t>
            </w:r>
          </w:p>
        </w:tc>
        <w:tc>
          <w:tcPr>
            <w:tcW w:w="1937" w:type="dxa"/>
            <w:tcBorders>
              <w:top w:val="single" w:color="auto" w:sz="4" w:space="0"/>
              <w:left w:val="single" w:color="auto" w:sz="4" w:space="0"/>
              <w:bottom w:val="single" w:color="auto" w:sz="4" w:space="0"/>
              <w:right w:val="single" w:color="auto" w:sz="4" w:space="0"/>
            </w:tcBorders>
            <w:vAlign w:val="center"/>
          </w:tcPr>
          <w:p w14:paraId="62250E31">
            <w:pPr>
              <w:widowControl/>
              <w:jc w:val="center"/>
              <w:textAlignment w:val="center"/>
              <w:rPr>
                <w:rFonts w:asciiTheme="minorEastAsia" w:hAnsiTheme="minorEastAsia" w:cstheme="minorEastAsia"/>
                <w:sz w:val="20"/>
                <w:szCs w:val="20"/>
                <w:lang w:bidi="ar"/>
              </w:rPr>
            </w:pPr>
            <w:r>
              <w:rPr>
                <w:rFonts w:hint="eastAsia" w:ascii="宋体" w:hAnsi="宋体" w:eastAsia="宋体" w:cs="宋体"/>
                <w:color w:val="000000"/>
                <w:kern w:val="0"/>
                <w:sz w:val="20"/>
                <w:szCs w:val="20"/>
                <w:lang w:bidi="ar"/>
              </w:rPr>
              <w:t>590元/人/月</w:t>
            </w:r>
          </w:p>
        </w:tc>
        <w:tc>
          <w:tcPr>
            <w:tcW w:w="1774" w:type="dxa"/>
            <w:tcBorders>
              <w:top w:val="single" w:color="auto" w:sz="4" w:space="0"/>
              <w:left w:val="single" w:color="auto" w:sz="4" w:space="0"/>
              <w:bottom w:val="single" w:color="auto" w:sz="4" w:space="0"/>
              <w:right w:val="single" w:color="auto" w:sz="4" w:space="0"/>
            </w:tcBorders>
            <w:vAlign w:val="center"/>
          </w:tcPr>
          <w:p w14:paraId="432F625F">
            <w:pPr>
              <w:widowControl/>
              <w:jc w:val="center"/>
              <w:textAlignment w:val="center"/>
              <w:rPr>
                <w:rFonts w:asciiTheme="minorEastAsia" w:hAnsiTheme="minorEastAsia" w:cstheme="minorEastAsia"/>
                <w:sz w:val="20"/>
                <w:szCs w:val="20"/>
                <w:lang w:bidi="ar"/>
              </w:rPr>
            </w:pPr>
            <w:r>
              <w:rPr>
                <w:rFonts w:hint="eastAsia" w:ascii="宋体" w:hAnsi="宋体" w:eastAsia="宋体" w:cs="宋体"/>
                <w:color w:val="000000"/>
                <w:kern w:val="0"/>
                <w:sz w:val="20"/>
                <w:szCs w:val="20"/>
                <w:lang w:bidi="ar"/>
              </w:rPr>
              <w:t>900元/人/月</w:t>
            </w:r>
          </w:p>
        </w:tc>
      </w:tr>
      <w:tr w14:paraId="04DF6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14:paraId="47AB4FE6">
            <w:pPr>
              <w:widowControl/>
              <w:jc w:val="center"/>
              <w:textAlignment w:val="center"/>
              <w:rPr>
                <w:rFonts w:asciiTheme="minorEastAsia" w:hAnsiTheme="minorEastAsia" w:cstheme="minorEastAsia"/>
                <w:snapToGrid w:val="0"/>
                <w:color w:val="000000"/>
                <w:kern w:val="0"/>
                <w:sz w:val="20"/>
                <w:szCs w:val="20"/>
                <w:lang w:bidi="ar"/>
              </w:rPr>
            </w:pPr>
            <w:r>
              <w:rPr>
                <w:rFonts w:asciiTheme="minorEastAsia" w:hAnsiTheme="minorEastAsia" w:cstheme="minorEastAsia"/>
                <w:snapToGrid w:val="0"/>
                <w:kern w:val="0"/>
                <w:sz w:val="20"/>
                <w:szCs w:val="20"/>
                <w:lang w:bidi="ar"/>
              </w:rPr>
              <w:t>3</w:t>
            </w:r>
          </w:p>
        </w:tc>
        <w:tc>
          <w:tcPr>
            <w:tcW w:w="1301" w:type="dxa"/>
            <w:tcBorders>
              <w:top w:val="single" w:color="auto" w:sz="4" w:space="0"/>
              <w:left w:val="single" w:color="auto" w:sz="4" w:space="0"/>
              <w:bottom w:val="single" w:color="auto" w:sz="4" w:space="0"/>
              <w:right w:val="single" w:color="auto" w:sz="4" w:space="0"/>
            </w:tcBorders>
            <w:vAlign w:val="center"/>
          </w:tcPr>
          <w:p w14:paraId="5585B85F">
            <w:pPr>
              <w:widowControl/>
              <w:spacing w:after="156" w:afterLines="50"/>
              <w:jc w:val="center"/>
              <w:rPr>
                <w:rFonts w:asciiTheme="minorEastAsia" w:hAnsiTheme="minorEastAsia" w:cstheme="minorEastAsia"/>
                <w:sz w:val="20"/>
                <w:szCs w:val="20"/>
                <w:lang w:bidi="ar"/>
              </w:rPr>
            </w:pPr>
            <w:r>
              <w:rPr>
                <w:rFonts w:hint="eastAsia" w:asciiTheme="minorEastAsia" w:hAnsiTheme="minorEastAsia" w:cstheme="minorEastAsia"/>
                <w:sz w:val="20"/>
                <w:szCs w:val="20"/>
                <w:lang w:bidi="ar"/>
              </w:rPr>
              <w:t>成本指标</w:t>
            </w:r>
          </w:p>
        </w:tc>
        <w:tc>
          <w:tcPr>
            <w:tcW w:w="2599" w:type="dxa"/>
            <w:tcBorders>
              <w:top w:val="single" w:color="auto" w:sz="4" w:space="0"/>
              <w:left w:val="single" w:color="auto" w:sz="4" w:space="0"/>
              <w:bottom w:val="single" w:color="auto" w:sz="4" w:space="0"/>
              <w:right w:val="single" w:color="auto" w:sz="4" w:space="0"/>
            </w:tcBorders>
            <w:vAlign w:val="center"/>
          </w:tcPr>
          <w:p w14:paraId="282FBB78">
            <w:pPr>
              <w:widowControl/>
              <w:jc w:val="center"/>
              <w:textAlignment w:val="center"/>
              <w:rPr>
                <w:rFonts w:asciiTheme="minorEastAsia" w:hAnsiTheme="minorEastAsia" w:cstheme="minorEastAsia"/>
                <w:snapToGrid w:val="0"/>
                <w:color w:val="000000"/>
                <w:kern w:val="0"/>
                <w:sz w:val="20"/>
                <w:szCs w:val="20"/>
                <w:lang w:bidi="ar"/>
              </w:rPr>
            </w:pPr>
            <w:r>
              <w:rPr>
                <w:rFonts w:hint="eastAsia" w:ascii="宋体" w:hAnsi="宋体" w:eastAsia="宋体" w:cs="宋体"/>
                <w:color w:val="000000"/>
                <w:kern w:val="0"/>
                <w:sz w:val="20"/>
                <w:szCs w:val="20"/>
                <w:lang w:bidi="ar"/>
              </w:rPr>
              <w:t>计划生育手术并发症人员扶助金发放标准</w:t>
            </w:r>
          </w:p>
        </w:tc>
        <w:tc>
          <w:tcPr>
            <w:tcW w:w="1937" w:type="dxa"/>
            <w:tcBorders>
              <w:top w:val="single" w:color="auto" w:sz="4" w:space="0"/>
              <w:left w:val="single" w:color="auto" w:sz="4" w:space="0"/>
              <w:bottom w:val="single" w:color="auto" w:sz="4" w:space="0"/>
              <w:right w:val="single" w:color="auto" w:sz="4" w:space="0"/>
            </w:tcBorders>
            <w:vAlign w:val="center"/>
          </w:tcPr>
          <w:p w14:paraId="344F4748">
            <w:pPr>
              <w:widowControl/>
              <w:jc w:val="center"/>
              <w:textAlignment w:val="center"/>
              <w:rPr>
                <w:rFonts w:asciiTheme="minorEastAsia" w:hAnsiTheme="minorEastAsia" w:cstheme="minorEastAsia"/>
                <w:snapToGrid w:val="0"/>
                <w:color w:val="000000"/>
                <w:kern w:val="0"/>
                <w:sz w:val="20"/>
                <w:szCs w:val="20"/>
                <w:lang w:bidi="ar"/>
              </w:rPr>
            </w:pPr>
            <w:r>
              <w:rPr>
                <w:rFonts w:hint="eastAsia" w:ascii="宋体" w:hAnsi="宋体" w:eastAsia="宋体" w:cs="宋体"/>
                <w:color w:val="000000"/>
                <w:kern w:val="0"/>
                <w:sz w:val="20"/>
                <w:szCs w:val="20"/>
                <w:lang w:bidi="ar"/>
              </w:rPr>
              <w:t>三级：260元/人/月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二级：390元/人/月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一级：520元/人/月</w:t>
            </w:r>
          </w:p>
        </w:tc>
        <w:tc>
          <w:tcPr>
            <w:tcW w:w="1774" w:type="dxa"/>
            <w:tcBorders>
              <w:top w:val="single" w:color="auto" w:sz="4" w:space="0"/>
              <w:left w:val="single" w:color="auto" w:sz="4" w:space="0"/>
              <w:bottom w:val="single" w:color="auto" w:sz="4" w:space="0"/>
              <w:right w:val="single" w:color="auto" w:sz="4" w:space="0"/>
            </w:tcBorders>
            <w:vAlign w:val="center"/>
          </w:tcPr>
          <w:p w14:paraId="3FA95747">
            <w:pPr>
              <w:widowControl/>
              <w:jc w:val="center"/>
              <w:textAlignment w:val="center"/>
              <w:rPr>
                <w:rFonts w:asciiTheme="minorEastAsia" w:hAnsiTheme="minorEastAsia" w:cstheme="minorEastAsia"/>
                <w:snapToGrid w:val="0"/>
                <w:color w:val="000000"/>
                <w:kern w:val="0"/>
                <w:sz w:val="20"/>
                <w:szCs w:val="20"/>
                <w:lang w:bidi="ar"/>
              </w:rPr>
            </w:pPr>
            <w:r>
              <w:rPr>
                <w:rFonts w:hint="eastAsia" w:ascii="宋体" w:hAnsi="宋体" w:eastAsia="宋体" w:cs="宋体"/>
                <w:color w:val="000000"/>
                <w:kern w:val="0"/>
                <w:sz w:val="20"/>
                <w:szCs w:val="20"/>
                <w:lang w:bidi="ar"/>
              </w:rPr>
              <w:t>三级：260元/人/月</w:t>
            </w:r>
          </w:p>
        </w:tc>
      </w:tr>
      <w:tr w14:paraId="34E2F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14:paraId="1B8A538D">
            <w:pPr>
              <w:widowControl/>
              <w:jc w:val="center"/>
              <w:textAlignment w:val="center"/>
              <w:rPr>
                <w:rFonts w:asciiTheme="minorEastAsia" w:hAnsiTheme="minorEastAsia" w:cstheme="minorEastAsia"/>
                <w:snapToGrid w:val="0"/>
                <w:color w:val="000000"/>
                <w:kern w:val="0"/>
                <w:sz w:val="20"/>
                <w:szCs w:val="20"/>
                <w:lang w:bidi="ar"/>
              </w:rPr>
            </w:pPr>
            <w:r>
              <w:rPr>
                <w:rFonts w:asciiTheme="minorEastAsia" w:hAnsiTheme="minorEastAsia" w:cstheme="minorEastAsia"/>
                <w:snapToGrid w:val="0"/>
                <w:kern w:val="0"/>
                <w:sz w:val="20"/>
                <w:szCs w:val="20"/>
                <w:lang w:bidi="ar"/>
              </w:rPr>
              <w:t>4</w:t>
            </w:r>
          </w:p>
        </w:tc>
        <w:tc>
          <w:tcPr>
            <w:tcW w:w="1301" w:type="dxa"/>
            <w:tcBorders>
              <w:top w:val="single" w:color="auto" w:sz="4" w:space="0"/>
              <w:left w:val="single" w:color="auto" w:sz="4" w:space="0"/>
              <w:bottom w:val="single" w:color="auto" w:sz="4" w:space="0"/>
              <w:right w:val="single" w:color="auto" w:sz="4" w:space="0"/>
            </w:tcBorders>
            <w:vAlign w:val="center"/>
          </w:tcPr>
          <w:p w14:paraId="490CAE1E">
            <w:pPr>
              <w:widowControl/>
              <w:spacing w:after="156" w:afterLines="50"/>
              <w:jc w:val="center"/>
              <w:rPr>
                <w:rFonts w:asciiTheme="minorEastAsia" w:hAnsiTheme="minorEastAsia" w:cstheme="minorEastAsia"/>
                <w:sz w:val="20"/>
                <w:szCs w:val="20"/>
                <w:lang w:bidi="ar"/>
              </w:rPr>
            </w:pPr>
            <w:r>
              <w:rPr>
                <w:rFonts w:hint="eastAsia" w:asciiTheme="minorEastAsia" w:hAnsiTheme="minorEastAsia" w:cstheme="minorEastAsia"/>
                <w:sz w:val="20"/>
                <w:szCs w:val="20"/>
                <w:lang w:bidi="ar"/>
              </w:rPr>
              <w:t>成本指标</w:t>
            </w:r>
          </w:p>
        </w:tc>
        <w:tc>
          <w:tcPr>
            <w:tcW w:w="2599" w:type="dxa"/>
            <w:tcBorders>
              <w:top w:val="single" w:color="auto" w:sz="4" w:space="0"/>
              <w:left w:val="single" w:color="auto" w:sz="4" w:space="0"/>
              <w:bottom w:val="single" w:color="auto" w:sz="4" w:space="0"/>
              <w:right w:val="single" w:color="auto" w:sz="4" w:space="0"/>
            </w:tcBorders>
            <w:vAlign w:val="center"/>
          </w:tcPr>
          <w:p w14:paraId="6A48E2A5">
            <w:pPr>
              <w:widowControl/>
              <w:jc w:val="center"/>
              <w:textAlignment w:val="center"/>
              <w:rPr>
                <w:rFonts w:asciiTheme="minorEastAsia" w:hAnsiTheme="minorEastAsia" w:cstheme="minorEastAsia"/>
                <w:snapToGrid w:val="0"/>
                <w:color w:val="000000"/>
                <w:kern w:val="0"/>
                <w:sz w:val="20"/>
                <w:szCs w:val="20"/>
                <w:lang w:bidi="ar"/>
              </w:rPr>
            </w:pPr>
            <w:r>
              <w:rPr>
                <w:rFonts w:hint="eastAsia" w:ascii="宋体" w:hAnsi="宋体" w:eastAsia="宋体" w:cs="宋体"/>
                <w:color w:val="000000"/>
                <w:kern w:val="0"/>
                <w:sz w:val="20"/>
                <w:szCs w:val="20"/>
                <w:lang w:bidi="ar"/>
              </w:rPr>
              <w:t>农村部分计划生育家庭奖励扶助金发放标准</w:t>
            </w:r>
          </w:p>
        </w:tc>
        <w:tc>
          <w:tcPr>
            <w:tcW w:w="1937" w:type="dxa"/>
            <w:tcBorders>
              <w:top w:val="single" w:color="auto" w:sz="4" w:space="0"/>
              <w:left w:val="single" w:color="auto" w:sz="4" w:space="0"/>
              <w:bottom w:val="single" w:color="auto" w:sz="4" w:space="0"/>
              <w:right w:val="single" w:color="auto" w:sz="4" w:space="0"/>
            </w:tcBorders>
            <w:vAlign w:val="center"/>
          </w:tcPr>
          <w:p w14:paraId="37802513">
            <w:pPr>
              <w:widowControl/>
              <w:jc w:val="center"/>
              <w:textAlignment w:val="center"/>
              <w:rPr>
                <w:rFonts w:asciiTheme="minorEastAsia" w:hAnsiTheme="minorEastAsia" w:cstheme="minorEastAsia"/>
                <w:snapToGrid w:val="0"/>
                <w:color w:val="000000"/>
                <w:kern w:val="0"/>
                <w:sz w:val="20"/>
                <w:szCs w:val="20"/>
                <w:lang w:bidi="ar"/>
              </w:rPr>
            </w:pPr>
            <w:r>
              <w:rPr>
                <w:rFonts w:hint="eastAsia" w:ascii="宋体" w:hAnsi="宋体" w:eastAsia="宋体" w:cs="宋体"/>
                <w:color w:val="000000"/>
                <w:kern w:val="0"/>
                <w:sz w:val="20"/>
                <w:szCs w:val="20"/>
                <w:lang w:bidi="ar"/>
              </w:rPr>
              <w:t>80元/人/月</w:t>
            </w:r>
          </w:p>
        </w:tc>
        <w:tc>
          <w:tcPr>
            <w:tcW w:w="1774" w:type="dxa"/>
            <w:tcBorders>
              <w:top w:val="single" w:color="auto" w:sz="4" w:space="0"/>
              <w:left w:val="single" w:color="auto" w:sz="4" w:space="0"/>
              <w:bottom w:val="single" w:color="auto" w:sz="4" w:space="0"/>
              <w:right w:val="single" w:color="auto" w:sz="4" w:space="0"/>
            </w:tcBorders>
            <w:vAlign w:val="center"/>
          </w:tcPr>
          <w:p w14:paraId="7B83A893">
            <w:pPr>
              <w:widowControl/>
              <w:jc w:val="center"/>
              <w:textAlignment w:val="center"/>
              <w:rPr>
                <w:rFonts w:asciiTheme="minorEastAsia" w:hAnsiTheme="minorEastAsia" w:cstheme="minorEastAsia"/>
                <w:snapToGrid w:val="0"/>
                <w:color w:val="000000"/>
                <w:kern w:val="0"/>
                <w:sz w:val="20"/>
                <w:szCs w:val="20"/>
                <w:lang w:bidi="ar"/>
              </w:rPr>
            </w:pPr>
            <w:r>
              <w:rPr>
                <w:rFonts w:hint="eastAsia" w:ascii="宋体" w:hAnsi="宋体" w:eastAsia="宋体" w:cs="宋体"/>
                <w:color w:val="000000"/>
                <w:kern w:val="0"/>
                <w:sz w:val="20"/>
                <w:szCs w:val="20"/>
                <w:lang w:bidi="ar"/>
              </w:rPr>
              <w:t>175元/人/月</w:t>
            </w:r>
          </w:p>
        </w:tc>
      </w:tr>
    </w:tbl>
    <w:p w14:paraId="7E9E4DDC">
      <w:pPr>
        <w:widowControl/>
        <w:kinsoku w:val="0"/>
        <w:autoSpaceDE w:val="0"/>
        <w:autoSpaceDN w:val="0"/>
        <w:adjustRightInd w:val="0"/>
        <w:snapToGrid w:val="0"/>
        <w:spacing w:line="580" w:lineRule="exact"/>
        <w:ind w:firstLine="640" w:firstLineChars="200"/>
        <w:textAlignment w:val="baseline"/>
        <w:rPr>
          <w:rFonts w:ascii="仿宋_GB2312" w:hAnsi="仿宋_GB2312" w:eastAsia="仿宋_GB2312" w:cs="仿宋_GB2312"/>
          <w:bCs/>
          <w:sz w:val="32"/>
          <w:szCs w:val="32"/>
          <w:lang w:eastAsia="zh-Hans"/>
        </w:rPr>
      </w:pPr>
      <w:r>
        <w:rPr>
          <w:rFonts w:hint="eastAsia" w:ascii="仿宋_GB2312" w:hAnsi="仿宋_GB2312" w:eastAsia="仿宋_GB2312" w:cs="仿宋_GB2312"/>
          <w:bCs/>
          <w:sz w:val="32"/>
          <w:szCs w:val="32"/>
          <w:lang w:eastAsia="zh-Hans"/>
        </w:rPr>
        <w:t>2.效益指标完成情况分析</w:t>
      </w:r>
    </w:p>
    <w:p w14:paraId="4B0F838A">
      <w:pPr>
        <w:pStyle w:val="6"/>
        <w:widowControl/>
        <w:kinsoku w:val="0"/>
        <w:autoSpaceDE w:val="0"/>
        <w:autoSpaceDN w:val="0"/>
        <w:adjustRightInd w:val="0"/>
        <w:snapToGrid w:val="0"/>
        <w:spacing w:after="0" w:line="580" w:lineRule="exact"/>
        <w:ind w:firstLine="640" w:firstLineChars="200"/>
        <w:textAlignment w:val="baseline"/>
        <w:rPr>
          <w:rFonts w:ascii="仿宋_GB2312" w:hAnsi="仿宋_GB2312" w:eastAsia="仿宋_GB2312" w:cs="仿宋_GB2312"/>
          <w:sz w:val="32"/>
          <w:szCs w:val="32"/>
        </w:rPr>
      </w:pPr>
      <w:r>
        <w:rPr>
          <w:rFonts w:hint="eastAsia" w:ascii="仿宋_GB2312" w:hAnsi="仿宋" w:eastAsia="仿宋_GB2312"/>
          <w:color w:val="000000"/>
          <w:sz w:val="32"/>
          <w:szCs w:val="32"/>
          <w:lang w:bidi="ar"/>
        </w:rPr>
        <w:t>2023年北京市计划生育补助资金转移支付项目设定的社会效益指标共2项，指标均已完成，具体情况如下表</w:t>
      </w:r>
      <w:r>
        <w:rPr>
          <w:rFonts w:hint="eastAsia" w:ascii="仿宋_GB2312" w:hAnsi="仿宋" w:eastAsia="仿宋_GB2312"/>
          <w:color w:val="000000"/>
          <w:sz w:val="32"/>
          <w:szCs w:val="32"/>
          <w:lang w:val="en-US" w:eastAsia="zh-CN" w:bidi="ar"/>
        </w:rPr>
        <w:t>5</w:t>
      </w:r>
      <w:r>
        <w:rPr>
          <w:rFonts w:hint="eastAsia" w:ascii="仿宋_GB2312" w:hAnsi="仿宋" w:eastAsia="仿宋_GB2312"/>
          <w:color w:val="000000"/>
          <w:sz w:val="32"/>
          <w:szCs w:val="32"/>
          <w:lang w:bidi="ar"/>
        </w:rPr>
        <w:t>：</w:t>
      </w:r>
    </w:p>
    <w:p w14:paraId="0A6160B0">
      <w:pPr>
        <w:pStyle w:val="6"/>
        <w:spacing w:after="0"/>
        <w:jc w:val="center"/>
        <w:rPr>
          <w:rFonts w:ascii="仿宋_GB2312" w:hAnsi="仿宋" w:eastAsia="仿宋_GB2312"/>
          <w:sz w:val="28"/>
          <w:szCs w:val="28"/>
          <w:lang w:eastAsia="zh-Hans" w:bidi="ar"/>
        </w:rPr>
      </w:pP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：社会效益指标完成情况表</w:t>
      </w:r>
    </w:p>
    <w:tbl>
      <w:tblPr>
        <w:tblStyle w:val="12"/>
        <w:tblW w:w="8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5"/>
        <w:gridCol w:w="1444"/>
        <w:gridCol w:w="2513"/>
        <w:gridCol w:w="1984"/>
        <w:gridCol w:w="1633"/>
      </w:tblGrid>
      <w:tr w14:paraId="38374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25" w:type="dxa"/>
            <w:tcBorders>
              <w:top w:val="single" w:color="auto" w:sz="4" w:space="0"/>
              <w:left w:val="single" w:color="auto" w:sz="4" w:space="0"/>
              <w:bottom w:val="single" w:color="auto" w:sz="4" w:space="0"/>
              <w:right w:val="single" w:color="auto" w:sz="4" w:space="0"/>
            </w:tcBorders>
            <w:shd w:val="clear" w:color="auto" w:fill="A6A6A6"/>
            <w:vAlign w:val="center"/>
          </w:tcPr>
          <w:p w14:paraId="4CA6CA27">
            <w:pPr>
              <w:widowControl/>
              <w:jc w:val="center"/>
              <w:rPr>
                <w:rFonts w:asciiTheme="minorEastAsia" w:hAnsiTheme="minorEastAsia" w:cstheme="minorEastAsia"/>
                <w:b/>
                <w:color w:val="000000"/>
                <w:kern w:val="0"/>
                <w:sz w:val="20"/>
                <w:szCs w:val="20"/>
                <w:lang w:bidi="ar"/>
              </w:rPr>
            </w:pPr>
            <w:r>
              <w:rPr>
                <w:rFonts w:hint="eastAsia" w:asciiTheme="minorEastAsia" w:hAnsiTheme="minorEastAsia" w:cstheme="minorEastAsia"/>
                <w:b/>
                <w:color w:val="000000"/>
                <w:kern w:val="0"/>
                <w:sz w:val="20"/>
                <w:szCs w:val="20"/>
                <w:lang w:bidi="ar"/>
              </w:rPr>
              <w:t>序号</w:t>
            </w:r>
          </w:p>
        </w:tc>
        <w:tc>
          <w:tcPr>
            <w:tcW w:w="1444" w:type="dxa"/>
            <w:tcBorders>
              <w:top w:val="single" w:color="auto" w:sz="4" w:space="0"/>
              <w:left w:val="single" w:color="auto" w:sz="4" w:space="0"/>
              <w:bottom w:val="single" w:color="auto" w:sz="4" w:space="0"/>
              <w:right w:val="single" w:color="auto" w:sz="4" w:space="0"/>
            </w:tcBorders>
            <w:shd w:val="clear" w:color="auto" w:fill="A6A6A6"/>
            <w:vAlign w:val="center"/>
          </w:tcPr>
          <w:p w14:paraId="346C67D7">
            <w:pPr>
              <w:widowControl/>
              <w:jc w:val="center"/>
              <w:rPr>
                <w:rFonts w:asciiTheme="minorEastAsia" w:hAnsiTheme="minorEastAsia" w:cstheme="minorEastAsia"/>
                <w:b/>
                <w:color w:val="000000"/>
                <w:kern w:val="0"/>
                <w:sz w:val="20"/>
                <w:szCs w:val="20"/>
                <w:lang w:bidi="ar"/>
              </w:rPr>
            </w:pPr>
            <w:r>
              <w:rPr>
                <w:rFonts w:hint="eastAsia" w:asciiTheme="minorEastAsia" w:hAnsiTheme="minorEastAsia" w:cstheme="minorEastAsia"/>
                <w:b/>
                <w:color w:val="000000"/>
                <w:kern w:val="0"/>
                <w:sz w:val="20"/>
                <w:szCs w:val="20"/>
                <w:lang w:bidi="ar"/>
              </w:rPr>
              <w:t>指标类型</w:t>
            </w:r>
          </w:p>
        </w:tc>
        <w:tc>
          <w:tcPr>
            <w:tcW w:w="2513" w:type="dxa"/>
            <w:tcBorders>
              <w:top w:val="single" w:color="auto" w:sz="4" w:space="0"/>
              <w:left w:val="single" w:color="auto" w:sz="4" w:space="0"/>
              <w:bottom w:val="single" w:color="auto" w:sz="4" w:space="0"/>
              <w:right w:val="single" w:color="auto" w:sz="4" w:space="0"/>
            </w:tcBorders>
            <w:shd w:val="clear" w:color="auto" w:fill="A6A6A6"/>
            <w:vAlign w:val="center"/>
          </w:tcPr>
          <w:p w14:paraId="75D8E92A">
            <w:pPr>
              <w:widowControl/>
              <w:jc w:val="center"/>
              <w:rPr>
                <w:rFonts w:asciiTheme="minorEastAsia" w:hAnsiTheme="minorEastAsia" w:cstheme="minorEastAsia"/>
                <w:b/>
                <w:color w:val="000000"/>
                <w:kern w:val="0"/>
                <w:sz w:val="20"/>
                <w:szCs w:val="20"/>
                <w:lang w:bidi="ar"/>
              </w:rPr>
            </w:pPr>
            <w:r>
              <w:rPr>
                <w:rFonts w:hint="eastAsia" w:asciiTheme="minorEastAsia" w:hAnsiTheme="minorEastAsia" w:cstheme="minorEastAsia"/>
                <w:b/>
                <w:color w:val="000000"/>
                <w:kern w:val="0"/>
                <w:sz w:val="20"/>
                <w:szCs w:val="20"/>
                <w:lang w:bidi="ar"/>
              </w:rPr>
              <w:t>三级指标</w:t>
            </w:r>
          </w:p>
        </w:tc>
        <w:tc>
          <w:tcPr>
            <w:tcW w:w="1984" w:type="dxa"/>
            <w:tcBorders>
              <w:top w:val="single" w:color="auto" w:sz="4" w:space="0"/>
              <w:left w:val="single" w:color="auto" w:sz="4" w:space="0"/>
              <w:bottom w:val="single" w:color="auto" w:sz="4" w:space="0"/>
              <w:right w:val="single" w:color="auto" w:sz="4" w:space="0"/>
            </w:tcBorders>
            <w:shd w:val="clear" w:color="auto" w:fill="A6A6A6"/>
            <w:vAlign w:val="center"/>
          </w:tcPr>
          <w:p w14:paraId="6A0701D9">
            <w:pPr>
              <w:widowControl/>
              <w:jc w:val="center"/>
              <w:rPr>
                <w:rFonts w:asciiTheme="minorEastAsia" w:hAnsiTheme="minorEastAsia" w:cstheme="minorEastAsia"/>
                <w:b/>
                <w:color w:val="000000"/>
                <w:kern w:val="0"/>
                <w:sz w:val="20"/>
                <w:szCs w:val="20"/>
                <w:lang w:bidi="ar"/>
              </w:rPr>
            </w:pPr>
            <w:r>
              <w:rPr>
                <w:rFonts w:hint="eastAsia" w:asciiTheme="minorEastAsia" w:hAnsiTheme="minorEastAsia" w:cstheme="minorEastAsia"/>
                <w:b/>
                <w:color w:val="000000"/>
                <w:kern w:val="0"/>
                <w:sz w:val="20"/>
                <w:szCs w:val="20"/>
                <w:lang w:bidi="ar"/>
              </w:rPr>
              <w:t>指标值</w:t>
            </w:r>
          </w:p>
        </w:tc>
        <w:tc>
          <w:tcPr>
            <w:tcW w:w="1633" w:type="dxa"/>
            <w:tcBorders>
              <w:top w:val="single" w:color="auto" w:sz="4" w:space="0"/>
              <w:left w:val="single" w:color="auto" w:sz="4" w:space="0"/>
              <w:bottom w:val="single" w:color="auto" w:sz="4" w:space="0"/>
              <w:right w:val="single" w:color="auto" w:sz="4" w:space="0"/>
            </w:tcBorders>
            <w:shd w:val="clear" w:color="auto" w:fill="A6A6A6"/>
            <w:vAlign w:val="center"/>
          </w:tcPr>
          <w:p w14:paraId="6B3C50ED">
            <w:pPr>
              <w:widowControl/>
              <w:jc w:val="center"/>
              <w:rPr>
                <w:rFonts w:asciiTheme="minorEastAsia" w:hAnsiTheme="minorEastAsia" w:cstheme="minorEastAsia"/>
                <w:b/>
                <w:color w:val="000000"/>
                <w:kern w:val="0"/>
                <w:sz w:val="20"/>
                <w:szCs w:val="20"/>
                <w:lang w:bidi="ar"/>
              </w:rPr>
            </w:pPr>
            <w:r>
              <w:rPr>
                <w:rFonts w:hint="eastAsia" w:asciiTheme="minorEastAsia" w:hAnsiTheme="minorEastAsia" w:cstheme="minorEastAsia"/>
                <w:b/>
                <w:color w:val="000000"/>
                <w:kern w:val="0"/>
                <w:sz w:val="20"/>
                <w:szCs w:val="20"/>
                <w:lang w:bidi="ar"/>
              </w:rPr>
              <w:t>实际完成值</w:t>
            </w:r>
          </w:p>
        </w:tc>
      </w:tr>
      <w:tr w14:paraId="0C3B7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3964CE9E">
            <w:pPr>
              <w:widowControl/>
              <w:spacing w:after="156" w:afterLines="50"/>
              <w:jc w:val="center"/>
              <w:rPr>
                <w:rFonts w:asciiTheme="minorEastAsia" w:hAnsiTheme="minorEastAsia" w:cstheme="minorEastAsia"/>
                <w:sz w:val="20"/>
                <w:szCs w:val="20"/>
                <w:lang w:bidi="ar"/>
              </w:rPr>
            </w:pPr>
            <w:r>
              <w:rPr>
                <w:rFonts w:hint="eastAsia" w:asciiTheme="minorEastAsia" w:hAnsiTheme="minorEastAsia" w:cstheme="minorEastAsia"/>
                <w:sz w:val="20"/>
                <w:szCs w:val="20"/>
                <w:lang w:bidi="ar"/>
              </w:rPr>
              <w:t>1</w:t>
            </w:r>
          </w:p>
        </w:tc>
        <w:tc>
          <w:tcPr>
            <w:tcW w:w="1444" w:type="dxa"/>
            <w:tcBorders>
              <w:top w:val="single" w:color="auto" w:sz="4" w:space="0"/>
              <w:left w:val="single" w:color="auto" w:sz="4" w:space="0"/>
              <w:bottom w:val="single" w:color="auto" w:sz="4" w:space="0"/>
              <w:right w:val="single" w:color="auto" w:sz="4" w:space="0"/>
            </w:tcBorders>
            <w:vAlign w:val="center"/>
          </w:tcPr>
          <w:p w14:paraId="3D13E26D">
            <w:pPr>
              <w:widowControl/>
              <w:spacing w:after="156" w:afterLines="50"/>
              <w:jc w:val="center"/>
              <w:rPr>
                <w:rFonts w:asciiTheme="minorEastAsia" w:hAnsiTheme="minorEastAsia" w:cstheme="minorEastAsia"/>
                <w:sz w:val="20"/>
                <w:szCs w:val="20"/>
                <w:lang w:bidi="ar"/>
              </w:rPr>
            </w:pPr>
            <w:r>
              <w:rPr>
                <w:rFonts w:hint="eastAsia" w:asciiTheme="minorEastAsia" w:hAnsiTheme="minorEastAsia" w:cstheme="minorEastAsia"/>
                <w:sz w:val="20"/>
                <w:szCs w:val="20"/>
                <w:lang w:bidi="ar"/>
              </w:rPr>
              <w:t>社会效益</w:t>
            </w:r>
            <w:r>
              <w:rPr>
                <w:rFonts w:hint="eastAsia" w:asciiTheme="minorEastAsia" w:hAnsiTheme="minorEastAsia" w:cstheme="minorEastAsia"/>
                <w:sz w:val="20"/>
                <w:szCs w:val="20"/>
                <w:lang w:eastAsia="zh-Hans" w:bidi="ar"/>
              </w:rPr>
              <w:t>指标</w:t>
            </w:r>
          </w:p>
        </w:tc>
        <w:tc>
          <w:tcPr>
            <w:tcW w:w="2513" w:type="dxa"/>
            <w:tcBorders>
              <w:top w:val="single" w:color="auto" w:sz="4" w:space="0"/>
              <w:left w:val="single" w:color="auto" w:sz="4" w:space="0"/>
              <w:bottom w:val="single" w:color="auto" w:sz="4" w:space="0"/>
              <w:right w:val="single" w:color="auto" w:sz="4" w:space="0"/>
            </w:tcBorders>
            <w:vAlign w:val="center"/>
          </w:tcPr>
          <w:p w14:paraId="7156EF9F">
            <w:pPr>
              <w:widowControl/>
              <w:jc w:val="center"/>
              <w:textAlignment w:val="center"/>
              <w:rPr>
                <w:rFonts w:asciiTheme="minorEastAsia" w:hAnsiTheme="minorEastAsia" w:cstheme="minorEastAsia"/>
                <w:sz w:val="20"/>
                <w:szCs w:val="20"/>
                <w:lang w:bidi="ar"/>
              </w:rPr>
            </w:pPr>
            <w:r>
              <w:rPr>
                <w:rFonts w:hint="eastAsia" w:ascii="宋体" w:hAnsi="宋体" w:eastAsia="宋体" w:cs="宋体"/>
                <w:color w:val="000000"/>
                <w:kern w:val="0"/>
                <w:sz w:val="20"/>
                <w:szCs w:val="20"/>
                <w:lang w:bidi="ar"/>
              </w:rPr>
              <w:t>家庭发展能力</w:t>
            </w:r>
          </w:p>
        </w:tc>
        <w:tc>
          <w:tcPr>
            <w:tcW w:w="1984" w:type="dxa"/>
            <w:tcBorders>
              <w:top w:val="single" w:color="auto" w:sz="4" w:space="0"/>
              <w:left w:val="single" w:color="auto" w:sz="4" w:space="0"/>
              <w:bottom w:val="single" w:color="auto" w:sz="4" w:space="0"/>
              <w:right w:val="single" w:color="auto" w:sz="4" w:space="0"/>
            </w:tcBorders>
            <w:vAlign w:val="center"/>
          </w:tcPr>
          <w:p w14:paraId="71AAA835">
            <w:pPr>
              <w:widowControl/>
              <w:jc w:val="center"/>
              <w:textAlignment w:val="center"/>
              <w:rPr>
                <w:rFonts w:asciiTheme="minorEastAsia" w:hAnsiTheme="minorEastAsia" w:cstheme="minorEastAsia"/>
                <w:sz w:val="20"/>
                <w:szCs w:val="20"/>
                <w:lang w:eastAsia="zh-Hans" w:bidi="ar"/>
              </w:rPr>
            </w:pPr>
            <w:r>
              <w:rPr>
                <w:rFonts w:hint="eastAsia" w:ascii="宋体" w:hAnsi="宋体" w:eastAsia="宋体" w:cs="宋体"/>
                <w:color w:val="000000"/>
                <w:kern w:val="0"/>
                <w:sz w:val="20"/>
                <w:szCs w:val="20"/>
                <w:lang w:bidi="ar"/>
              </w:rPr>
              <w:t>逐步提高</w:t>
            </w:r>
          </w:p>
        </w:tc>
        <w:tc>
          <w:tcPr>
            <w:tcW w:w="1633" w:type="dxa"/>
            <w:tcBorders>
              <w:top w:val="single" w:color="auto" w:sz="4" w:space="0"/>
              <w:left w:val="single" w:color="auto" w:sz="4" w:space="0"/>
              <w:bottom w:val="single" w:color="auto" w:sz="4" w:space="0"/>
              <w:right w:val="single" w:color="auto" w:sz="4" w:space="0"/>
            </w:tcBorders>
            <w:vAlign w:val="center"/>
          </w:tcPr>
          <w:p w14:paraId="3317EB71">
            <w:pPr>
              <w:widowControl/>
              <w:jc w:val="center"/>
              <w:textAlignment w:val="center"/>
              <w:rPr>
                <w:rFonts w:asciiTheme="minorEastAsia" w:hAnsiTheme="minorEastAsia" w:cstheme="minorEastAsia"/>
                <w:sz w:val="20"/>
                <w:szCs w:val="20"/>
                <w:lang w:eastAsia="zh-Hans" w:bidi="ar"/>
              </w:rPr>
            </w:pPr>
            <w:r>
              <w:rPr>
                <w:rFonts w:hint="eastAsia" w:ascii="宋体" w:hAnsi="宋体" w:eastAsia="宋体" w:cs="宋体"/>
                <w:color w:val="000000"/>
                <w:kern w:val="0"/>
                <w:sz w:val="20"/>
                <w:szCs w:val="20"/>
                <w:lang w:bidi="ar"/>
              </w:rPr>
              <w:t>逐步提高</w:t>
            </w:r>
          </w:p>
        </w:tc>
      </w:tr>
      <w:tr w14:paraId="25229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3FAC3318">
            <w:pPr>
              <w:widowControl/>
              <w:spacing w:after="156" w:afterLines="50"/>
              <w:jc w:val="center"/>
              <w:rPr>
                <w:rFonts w:asciiTheme="minorEastAsia" w:hAnsiTheme="minorEastAsia" w:cstheme="minorEastAsia"/>
                <w:sz w:val="20"/>
                <w:szCs w:val="20"/>
                <w:lang w:bidi="ar"/>
              </w:rPr>
            </w:pPr>
            <w:r>
              <w:rPr>
                <w:rFonts w:hint="eastAsia" w:asciiTheme="minorEastAsia" w:hAnsiTheme="minorEastAsia" w:cstheme="minorEastAsia"/>
                <w:sz w:val="20"/>
                <w:szCs w:val="20"/>
                <w:lang w:bidi="ar"/>
              </w:rPr>
              <w:t>2</w:t>
            </w:r>
          </w:p>
        </w:tc>
        <w:tc>
          <w:tcPr>
            <w:tcW w:w="1444" w:type="dxa"/>
            <w:tcBorders>
              <w:top w:val="single" w:color="auto" w:sz="4" w:space="0"/>
              <w:left w:val="single" w:color="auto" w:sz="4" w:space="0"/>
              <w:bottom w:val="single" w:color="auto" w:sz="4" w:space="0"/>
              <w:right w:val="single" w:color="auto" w:sz="4" w:space="0"/>
            </w:tcBorders>
            <w:vAlign w:val="center"/>
          </w:tcPr>
          <w:p w14:paraId="0F368CA8">
            <w:pPr>
              <w:widowControl/>
              <w:spacing w:after="156" w:afterLines="50"/>
              <w:jc w:val="center"/>
              <w:rPr>
                <w:rFonts w:asciiTheme="minorEastAsia" w:hAnsiTheme="minorEastAsia" w:cstheme="minorEastAsia"/>
                <w:sz w:val="20"/>
                <w:szCs w:val="20"/>
                <w:lang w:eastAsia="zh-Hans" w:bidi="ar"/>
              </w:rPr>
            </w:pPr>
            <w:r>
              <w:rPr>
                <w:rFonts w:hint="eastAsia" w:asciiTheme="minorEastAsia" w:hAnsiTheme="minorEastAsia" w:cstheme="minorEastAsia"/>
                <w:sz w:val="20"/>
                <w:szCs w:val="20"/>
                <w:lang w:bidi="ar"/>
              </w:rPr>
              <w:t>社会效益</w:t>
            </w:r>
            <w:r>
              <w:rPr>
                <w:rFonts w:hint="eastAsia" w:asciiTheme="minorEastAsia" w:hAnsiTheme="minorEastAsia" w:cstheme="minorEastAsia"/>
                <w:sz w:val="20"/>
                <w:szCs w:val="20"/>
                <w:lang w:eastAsia="zh-Hans" w:bidi="ar"/>
              </w:rPr>
              <w:t>指标</w:t>
            </w:r>
          </w:p>
        </w:tc>
        <w:tc>
          <w:tcPr>
            <w:tcW w:w="2513" w:type="dxa"/>
            <w:tcBorders>
              <w:top w:val="single" w:color="auto" w:sz="4" w:space="0"/>
              <w:left w:val="single" w:color="auto" w:sz="4" w:space="0"/>
              <w:bottom w:val="single" w:color="auto" w:sz="4" w:space="0"/>
              <w:right w:val="single" w:color="auto" w:sz="4" w:space="0"/>
            </w:tcBorders>
            <w:vAlign w:val="center"/>
          </w:tcPr>
          <w:p w14:paraId="7093F122">
            <w:pPr>
              <w:widowControl/>
              <w:jc w:val="center"/>
              <w:textAlignment w:val="center"/>
              <w:rPr>
                <w:rFonts w:asciiTheme="minorEastAsia" w:hAnsiTheme="minorEastAsia" w:cstheme="minorEastAsia"/>
                <w:sz w:val="20"/>
                <w:szCs w:val="20"/>
                <w:lang w:bidi="ar"/>
              </w:rPr>
            </w:pPr>
            <w:r>
              <w:rPr>
                <w:rFonts w:hint="eastAsia" w:ascii="宋体" w:hAnsi="宋体" w:eastAsia="宋体" w:cs="宋体"/>
                <w:color w:val="000000"/>
                <w:kern w:val="0"/>
                <w:sz w:val="20"/>
                <w:szCs w:val="20"/>
                <w:lang w:bidi="ar"/>
              </w:rPr>
              <w:t>社会稳定水平</w:t>
            </w:r>
          </w:p>
        </w:tc>
        <w:tc>
          <w:tcPr>
            <w:tcW w:w="1984" w:type="dxa"/>
            <w:tcBorders>
              <w:top w:val="single" w:color="auto" w:sz="4" w:space="0"/>
              <w:left w:val="single" w:color="auto" w:sz="4" w:space="0"/>
              <w:bottom w:val="single" w:color="auto" w:sz="4" w:space="0"/>
              <w:right w:val="single" w:color="auto" w:sz="4" w:space="0"/>
            </w:tcBorders>
            <w:vAlign w:val="center"/>
          </w:tcPr>
          <w:p w14:paraId="3CE0228B">
            <w:pPr>
              <w:widowControl/>
              <w:jc w:val="center"/>
              <w:textAlignment w:val="center"/>
              <w:rPr>
                <w:rFonts w:asciiTheme="minorEastAsia" w:hAnsiTheme="minorEastAsia" w:cstheme="minorEastAsia"/>
                <w:sz w:val="20"/>
                <w:szCs w:val="20"/>
                <w:lang w:eastAsia="zh-Hans" w:bidi="ar"/>
              </w:rPr>
            </w:pPr>
            <w:r>
              <w:rPr>
                <w:rFonts w:hint="eastAsia" w:ascii="宋体" w:hAnsi="宋体" w:eastAsia="宋体" w:cs="宋体"/>
                <w:color w:val="000000"/>
                <w:kern w:val="0"/>
                <w:sz w:val="20"/>
                <w:szCs w:val="20"/>
                <w:lang w:bidi="ar"/>
              </w:rPr>
              <w:t>逐步提高</w:t>
            </w:r>
          </w:p>
        </w:tc>
        <w:tc>
          <w:tcPr>
            <w:tcW w:w="1633" w:type="dxa"/>
            <w:tcBorders>
              <w:top w:val="single" w:color="auto" w:sz="4" w:space="0"/>
              <w:left w:val="single" w:color="auto" w:sz="4" w:space="0"/>
              <w:bottom w:val="single" w:color="auto" w:sz="4" w:space="0"/>
              <w:right w:val="single" w:color="auto" w:sz="4" w:space="0"/>
            </w:tcBorders>
            <w:vAlign w:val="center"/>
          </w:tcPr>
          <w:p w14:paraId="31EF460A">
            <w:pPr>
              <w:widowControl/>
              <w:jc w:val="center"/>
              <w:textAlignment w:val="center"/>
              <w:rPr>
                <w:rFonts w:asciiTheme="minorEastAsia" w:hAnsiTheme="minorEastAsia" w:cstheme="minorEastAsia"/>
                <w:sz w:val="20"/>
                <w:szCs w:val="20"/>
                <w:lang w:eastAsia="zh-Hans" w:bidi="ar"/>
              </w:rPr>
            </w:pPr>
            <w:r>
              <w:rPr>
                <w:rFonts w:hint="eastAsia" w:ascii="宋体" w:hAnsi="宋体" w:eastAsia="宋体" w:cs="宋体"/>
                <w:color w:val="000000"/>
                <w:kern w:val="0"/>
                <w:sz w:val="20"/>
                <w:szCs w:val="20"/>
                <w:lang w:bidi="ar"/>
              </w:rPr>
              <w:t>逐步提高</w:t>
            </w:r>
          </w:p>
        </w:tc>
      </w:tr>
      <w:bookmarkEnd w:id="3"/>
    </w:tbl>
    <w:p w14:paraId="682795DC">
      <w:pPr>
        <w:widowControl/>
        <w:kinsoku w:val="0"/>
        <w:autoSpaceDE w:val="0"/>
        <w:autoSpaceDN w:val="0"/>
        <w:adjustRightInd w:val="0"/>
        <w:snapToGrid w:val="0"/>
        <w:spacing w:line="580" w:lineRule="exact"/>
        <w:ind w:firstLine="620" w:firstLineChars="200"/>
        <w:jc w:val="left"/>
        <w:textAlignment w:val="baseline"/>
        <w:outlineLvl w:val="1"/>
        <w:rPr>
          <w:rFonts w:ascii="黑体" w:hAnsi="黑体" w:eastAsia="黑体" w:cs="黑体"/>
          <w:bCs/>
          <w:snapToGrid w:val="0"/>
          <w:color w:val="000000"/>
          <w:spacing w:val="-5"/>
          <w:kern w:val="0"/>
          <w:sz w:val="32"/>
          <w:szCs w:val="32"/>
        </w:rPr>
      </w:pPr>
      <w:bookmarkStart w:id="4" w:name="bookmark44"/>
      <w:r>
        <w:rPr>
          <w:rFonts w:hint="eastAsia" w:ascii="黑体" w:hAnsi="黑体" w:eastAsia="黑体" w:cs="黑体"/>
          <w:bCs/>
          <w:snapToGrid w:val="0"/>
          <w:color w:val="000000"/>
          <w:spacing w:val="-5"/>
          <w:kern w:val="0"/>
          <w:sz w:val="32"/>
          <w:szCs w:val="32"/>
        </w:rPr>
        <w:t>三</w:t>
      </w:r>
      <w:bookmarkEnd w:id="4"/>
      <w:r>
        <w:rPr>
          <w:rFonts w:hint="eastAsia" w:ascii="黑体" w:hAnsi="黑体" w:eastAsia="黑体" w:cs="黑体"/>
          <w:bCs/>
          <w:snapToGrid w:val="0"/>
          <w:color w:val="000000"/>
          <w:spacing w:val="-5"/>
          <w:kern w:val="0"/>
          <w:sz w:val="32"/>
          <w:szCs w:val="32"/>
        </w:rPr>
        <w:t>、偏离绩效目标的原因和下一步改进措施</w:t>
      </w:r>
    </w:p>
    <w:p w14:paraId="53356A17">
      <w:pPr>
        <w:spacing w:line="580" w:lineRule="exact"/>
        <w:ind w:firstLine="640" w:firstLineChars="200"/>
        <w:rPr>
          <w:rFonts w:hint="default" w:ascii="楷体_GB2312" w:hAnsi="楷体_GB2312" w:eastAsia="楷体_GB2312" w:cs="楷体_GB2312"/>
          <w:bCs/>
          <w:sz w:val="32"/>
          <w:szCs w:val="32"/>
          <w:lang w:val="en-US" w:eastAsia="zh-CN"/>
        </w:rPr>
      </w:pPr>
      <w:bookmarkStart w:id="5" w:name="_Toc100612294_WPSOffice_Level2"/>
      <w:r>
        <w:rPr>
          <w:rFonts w:hint="eastAsia" w:ascii="楷体_GB2312" w:hAnsi="楷体_GB2312" w:eastAsia="楷体_GB2312" w:cs="楷体_GB2312"/>
          <w:bCs/>
          <w:sz w:val="32"/>
          <w:szCs w:val="32"/>
        </w:rPr>
        <w:t>（一）</w:t>
      </w:r>
      <w:bookmarkEnd w:id="5"/>
      <w:r>
        <w:rPr>
          <w:rFonts w:hint="eastAsia" w:ascii="楷体_GB2312" w:hAnsi="楷体_GB2312" w:eastAsia="楷体_GB2312" w:cs="楷体_GB2312"/>
          <w:bCs/>
          <w:sz w:val="32"/>
          <w:szCs w:val="32"/>
          <w:lang w:val="en-US" w:eastAsia="zh-CN"/>
        </w:rPr>
        <w:t>偏离绩效目标的原因分析</w:t>
      </w:r>
    </w:p>
    <w:p w14:paraId="0B1276F2">
      <w:pPr>
        <w:pStyle w:val="2"/>
        <w:spacing w:line="580" w:lineRule="exact"/>
        <w:ind w:firstLine="640" w:firstLineChars="200"/>
        <w:rPr>
          <w:rFonts w:ascii="仿宋_GB2312" w:hAnsi="仿宋_GB2312" w:cs="仿宋_GB2312"/>
          <w:sz w:val="32"/>
          <w:szCs w:val="32"/>
        </w:rPr>
      </w:pPr>
      <w:r>
        <w:rPr>
          <w:rFonts w:hint="eastAsia" w:ascii="仿宋_GB2312" w:hAnsi="仿宋_GB2312" w:cs="仿宋_GB2312"/>
          <w:sz w:val="32"/>
          <w:szCs w:val="32"/>
        </w:rPr>
        <w:t>综合本次绩效评价工作绩效目标、绩效指标完成情况，北京市计划生育补助资金转移支付资金共设置12项绩效指标，均已实现预期目标值，且部分指标完成值远远超过年初设置指标值，存在这种情况的原因主要是项目绩效目标表以往年扶助人口变动趋势为依据，各区项目实际执行过程中，以当年扶助人口具体情况为准，据实足额发放各项补贴，客观上造成了项目绩效目标与实际扶助人口完成情况的差异。</w:t>
      </w:r>
    </w:p>
    <w:p w14:paraId="46229F33">
      <w:pPr>
        <w:widowControl/>
        <w:spacing w:line="580" w:lineRule="exact"/>
        <w:ind w:firstLine="640" w:firstLineChars="200"/>
        <w:jc w:val="left"/>
        <w:rPr>
          <w:rFonts w:ascii="仿宋" w:hAnsi="仿宋" w:eastAsia="仿宋" w:cs="黑体"/>
          <w:bCs/>
          <w:sz w:val="32"/>
          <w:szCs w:val="32"/>
        </w:rPr>
      </w:pPr>
      <w:bookmarkStart w:id="6" w:name="_Toc921195069_WPSOffice_Level2"/>
      <w:r>
        <w:rPr>
          <w:rFonts w:hint="eastAsia" w:ascii="楷体" w:hAnsi="楷体" w:eastAsia="楷体" w:cs="楷体"/>
          <w:bCs/>
          <w:color w:val="000000"/>
          <w:sz w:val="32"/>
          <w:szCs w:val="32"/>
          <w:lang w:bidi="ar"/>
        </w:rPr>
        <w:t>（</w:t>
      </w:r>
      <w:r>
        <w:rPr>
          <w:rFonts w:hint="eastAsia" w:ascii="楷体" w:hAnsi="楷体" w:eastAsia="楷体" w:cs="楷体"/>
          <w:bCs/>
          <w:color w:val="000000"/>
          <w:sz w:val="32"/>
          <w:szCs w:val="32"/>
          <w:lang w:val="en-US" w:eastAsia="zh-CN" w:bidi="ar"/>
        </w:rPr>
        <w:t>二</w:t>
      </w:r>
      <w:r>
        <w:rPr>
          <w:rFonts w:hint="eastAsia" w:ascii="楷体" w:hAnsi="楷体" w:eastAsia="楷体" w:cs="楷体"/>
          <w:bCs/>
          <w:color w:val="000000"/>
          <w:sz w:val="32"/>
          <w:szCs w:val="32"/>
          <w:lang w:bidi="ar"/>
        </w:rPr>
        <w:t>）下一步改进措施</w:t>
      </w:r>
      <w:bookmarkEnd w:id="6"/>
    </w:p>
    <w:p w14:paraId="5038DF32">
      <w:pPr>
        <w:spacing w:line="580" w:lineRule="exact"/>
        <w:ind w:firstLine="640" w:firstLineChars="200"/>
        <w:rPr>
          <w:rFonts w:ascii="仿宋_GB2312" w:hAnsi="仿宋_GB2312" w:eastAsia="仿宋_GB2312" w:cs="仿宋_GB2312"/>
          <w:sz w:val="32"/>
          <w:szCs w:val="32"/>
        </w:rPr>
      </w:pPr>
      <w:r>
        <w:rPr>
          <w:rFonts w:hint="eastAsia" w:ascii="仿宋_GB2312" w:hAnsi="仿宋_GB2312" w:cs="仿宋_GB2312"/>
          <w:sz w:val="32"/>
          <w:szCs w:val="32"/>
        </w:rPr>
        <w:t>1</w:t>
      </w:r>
      <w:r>
        <w:rPr>
          <w:rFonts w:hint="eastAsia" w:ascii="仿宋_GB2312" w:hAnsi="仿宋_GB2312" w:eastAsia="仿宋_GB2312" w:cs="仿宋_GB2312"/>
          <w:bCs/>
          <w:sz w:val="32"/>
          <w:szCs w:val="32"/>
        </w:rPr>
        <w:t>.规范资金执行，强化预算约束。严格落实中央转移支付资金管理文件要求，</w:t>
      </w:r>
      <w:r>
        <w:rPr>
          <w:rFonts w:hint="eastAsia" w:ascii="仿宋_GB2312" w:hAnsi="仿宋_GB2312" w:eastAsia="仿宋_GB2312" w:cs="仿宋_GB2312"/>
          <w:sz w:val="32"/>
          <w:szCs w:val="32"/>
        </w:rPr>
        <w:t>切实增强资金使用单位支出进度意识，提高中央转移支付资金使用效益，不断深化项目资金执行监督，持续强化项目预算执行硬约束。同时强化绩效评价结果应用，提升资金精细化管理程度，促使财政资金使用提质增效。</w:t>
      </w:r>
    </w:p>
    <w:p w14:paraId="59B53692">
      <w:pPr>
        <w:spacing w:line="580" w:lineRule="exact"/>
        <w:ind w:firstLine="640" w:firstLineChars="200"/>
        <w:rPr>
          <w:rFonts w:ascii="仿宋_GB2312" w:hAnsi="仿宋_GB2312" w:eastAsia="仿宋_GB2312" w:cs="仿宋_GB2312"/>
          <w:sz w:val="36"/>
          <w:szCs w:val="36"/>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Hans"/>
        </w:rPr>
        <w:t>.重视资料</w:t>
      </w:r>
      <w:r>
        <w:rPr>
          <w:rFonts w:hint="eastAsia" w:ascii="仿宋_GB2312" w:hAnsi="仿宋_GB2312" w:eastAsia="仿宋_GB2312" w:cs="仿宋_GB2312"/>
          <w:sz w:val="32"/>
          <w:szCs w:val="32"/>
        </w:rPr>
        <w:t>归集，充分呈现产出成果。积极推进项目管理资料归集整理工作，不断强化项目绩效管理意识。按照事前、事中、事后全流程管理思路，重点聚焦项目实施计划、项目实施过程监督、项目结项验收评价，做好工作资料归集建档，为项目绩效评价管理工作推进奠定基础。</w:t>
      </w:r>
    </w:p>
    <w:p w14:paraId="5AB83A9F">
      <w:pPr>
        <w:widowControl/>
        <w:kinsoku w:val="0"/>
        <w:autoSpaceDE w:val="0"/>
        <w:autoSpaceDN w:val="0"/>
        <w:adjustRightInd w:val="0"/>
        <w:snapToGrid w:val="0"/>
        <w:spacing w:line="580" w:lineRule="exact"/>
        <w:ind w:firstLine="620" w:firstLineChars="200"/>
        <w:jc w:val="left"/>
        <w:textAlignment w:val="baseline"/>
        <w:outlineLvl w:val="1"/>
        <w:rPr>
          <w:rFonts w:ascii="黑体" w:hAnsi="黑体" w:eastAsia="黑体" w:cs="黑体"/>
          <w:bCs/>
          <w:snapToGrid w:val="0"/>
          <w:color w:val="000000"/>
          <w:spacing w:val="-5"/>
          <w:kern w:val="0"/>
          <w:sz w:val="32"/>
          <w:szCs w:val="32"/>
        </w:rPr>
      </w:pPr>
      <w:r>
        <w:rPr>
          <w:rFonts w:ascii="黑体" w:hAnsi="黑体" w:eastAsia="黑体" w:cs="黑体"/>
          <w:bCs/>
          <w:snapToGrid w:val="0"/>
          <w:color w:val="000000"/>
          <w:spacing w:val="-5"/>
          <w:kern w:val="0"/>
          <w:sz w:val="32"/>
          <w:szCs w:val="32"/>
        </w:rPr>
        <w:t>四、绩效自评结果拟应用和公开情况</w:t>
      </w:r>
    </w:p>
    <w:p w14:paraId="4F514194">
      <w:pPr>
        <w:widowControl/>
        <w:spacing w:line="580" w:lineRule="exact"/>
        <w:ind w:firstLine="640" w:firstLineChars="200"/>
        <w:jc w:val="left"/>
        <w:rPr>
          <w:rFonts w:ascii="楷体" w:hAnsi="楷体" w:eastAsia="楷体" w:cs="楷体"/>
          <w:bCs/>
          <w:color w:val="000000"/>
          <w:sz w:val="32"/>
          <w:szCs w:val="32"/>
          <w:lang w:bidi="ar"/>
        </w:rPr>
      </w:pPr>
      <w:bookmarkStart w:id="7" w:name="_Toc1770925414_WPSOffice_Level2"/>
      <w:r>
        <w:rPr>
          <w:rFonts w:hint="eastAsia" w:ascii="楷体" w:hAnsi="楷体" w:eastAsia="楷体" w:cs="楷体"/>
          <w:bCs/>
          <w:color w:val="000000"/>
          <w:sz w:val="32"/>
          <w:szCs w:val="32"/>
          <w:lang w:bidi="ar"/>
        </w:rPr>
        <w:t>（一）绩效自评结果</w:t>
      </w:r>
      <w:bookmarkEnd w:id="7"/>
    </w:p>
    <w:p w14:paraId="606C9F02">
      <w:pPr>
        <w:widowControl/>
        <w:spacing w:line="580" w:lineRule="exact"/>
        <w:ind w:firstLine="640" w:firstLineChars="200"/>
        <w:jc w:val="left"/>
        <w:rPr>
          <w:rFonts w:ascii="仿宋_GB2312" w:hAnsi="仿宋_GB2312" w:eastAsia="仿宋_GB2312" w:cs="仿宋_GB2312"/>
          <w:bCs/>
          <w:sz w:val="32"/>
          <w:szCs w:val="32"/>
          <w:lang w:bidi="ar"/>
        </w:rPr>
      </w:pPr>
      <w:bookmarkStart w:id="8" w:name="_Toc1967569325_WPSOffice_Level2"/>
      <w:r>
        <w:rPr>
          <w:rFonts w:hint="eastAsia" w:ascii="仿宋_GB2312" w:hAnsi="仿宋_GB2312" w:eastAsia="仿宋_GB2312" w:cs="仿宋_GB2312"/>
          <w:bCs/>
          <w:sz w:val="32"/>
          <w:szCs w:val="32"/>
          <w:lang w:bidi="ar"/>
        </w:rPr>
        <w:t>根据本次绩效自评工作结果，本项目共设置12项年度绩效指标，均已实现年初目标值，项目实施取得了较好社会效益，</w:t>
      </w:r>
      <w:r>
        <w:rPr>
          <w:rFonts w:hint="eastAsia" w:ascii="仿宋_GB2312" w:hAnsi="仿宋_GB2312" w:eastAsia="仿宋_GB2312" w:cs="仿宋_GB2312"/>
          <w:sz w:val="32"/>
          <w:szCs w:val="32"/>
          <w:lang w:bidi="ar"/>
        </w:rPr>
        <w:t>自评结果整体良好</w:t>
      </w:r>
      <w:r>
        <w:rPr>
          <w:rFonts w:hint="eastAsia" w:ascii="仿宋_GB2312" w:hAnsi="仿宋_GB2312" w:eastAsia="仿宋_GB2312" w:cs="仿宋_GB2312"/>
          <w:bCs/>
          <w:sz w:val="32"/>
          <w:szCs w:val="32"/>
          <w:lang w:bidi="ar"/>
        </w:rPr>
        <w:t>。</w:t>
      </w:r>
    </w:p>
    <w:p w14:paraId="626ECA43">
      <w:pPr>
        <w:widowControl/>
        <w:spacing w:line="580" w:lineRule="exact"/>
        <w:ind w:firstLine="640" w:firstLineChars="200"/>
        <w:jc w:val="left"/>
        <w:rPr>
          <w:rFonts w:ascii="楷体" w:hAnsi="楷体" w:eastAsia="楷体" w:cs="楷体"/>
          <w:bCs/>
          <w:color w:val="000000"/>
          <w:sz w:val="32"/>
          <w:szCs w:val="32"/>
          <w:lang w:bidi="ar"/>
        </w:rPr>
      </w:pPr>
      <w:r>
        <w:rPr>
          <w:rFonts w:hint="eastAsia" w:ascii="楷体" w:hAnsi="楷体" w:eastAsia="楷体" w:cs="楷体"/>
          <w:bCs/>
          <w:color w:val="000000"/>
          <w:sz w:val="32"/>
          <w:szCs w:val="32"/>
          <w:lang w:bidi="ar"/>
        </w:rPr>
        <w:t>（二）绩效自评结果应用</w:t>
      </w:r>
      <w:bookmarkEnd w:id="8"/>
    </w:p>
    <w:p w14:paraId="1B2B5379">
      <w:pPr>
        <w:spacing w:line="580" w:lineRule="exact"/>
        <w:ind w:firstLine="640" w:firstLineChars="200"/>
        <w:rPr>
          <w:rFonts w:ascii="仿宋_GB2312" w:hAnsi="仿宋_GB2312" w:eastAsia="仿宋_GB2312" w:cs="仿宋_GB2312"/>
          <w:bCs/>
          <w:color w:val="FF0000"/>
          <w:sz w:val="32"/>
          <w:szCs w:val="32"/>
        </w:rPr>
      </w:pPr>
      <w:bookmarkStart w:id="9" w:name="_Toc1984448769_WPSOffice_Level2"/>
      <w:r>
        <w:rPr>
          <w:rFonts w:hint="eastAsia" w:ascii="仿宋_GB2312" w:hAnsi="仿宋_GB2312" w:eastAsia="仿宋_GB2312" w:cs="仿宋_GB2312"/>
          <w:bCs/>
          <w:sz w:val="32"/>
          <w:szCs w:val="32"/>
          <w:lang w:bidi="ar"/>
        </w:rPr>
        <w:t>1.落实评价问题整改，推进项目执行</w:t>
      </w:r>
    </w:p>
    <w:p w14:paraId="5C55664E">
      <w:pPr>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bidi="ar"/>
        </w:rPr>
        <w:t>本次绩效评价后，北京</w:t>
      </w:r>
      <w:r>
        <w:rPr>
          <w:rFonts w:hint="eastAsia" w:ascii="仿宋_GB2312" w:hAnsi="仿宋_GB2312" w:eastAsia="仿宋_GB2312" w:cs="仿宋_GB2312"/>
          <w:bCs/>
          <w:sz w:val="32"/>
          <w:szCs w:val="32"/>
          <w:lang w:eastAsia="zh-Hans" w:bidi="ar"/>
        </w:rPr>
        <w:t>市</w:t>
      </w:r>
      <w:r>
        <w:rPr>
          <w:rFonts w:hint="eastAsia" w:ascii="仿宋_GB2312" w:hAnsi="仿宋_GB2312" w:eastAsia="仿宋_GB2312" w:cs="仿宋_GB2312"/>
          <w:bCs/>
          <w:sz w:val="32"/>
          <w:szCs w:val="32"/>
          <w:lang w:bidi="ar"/>
        </w:rPr>
        <w:t>卫生健康委员会将整理</w:t>
      </w:r>
      <w:r>
        <w:rPr>
          <w:rFonts w:hint="eastAsia" w:ascii="仿宋_GB2312" w:hAnsi="仿宋_GB2312" w:eastAsia="仿宋_GB2312" w:cs="仿宋_GB2312"/>
          <w:bCs/>
          <w:sz w:val="32"/>
          <w:szCs w:val="32"/>
          <w:lang w:eastAsia="zh-Hans" w:bidi="ar"/>
        </w:rPr>
        <w:t>项目</w:t>
      </w:r>
      <w:r>
        <w:rPr>
          <w:rFonts w:hint="eastAsia" w:ascii="仿宋_GB2312" w:hAnsi="仿宋_GB2312" w:eastAsia="仿宋_GB2312" w:cs="仿宋_GB2312"/>
          <w:bCs/>
          <w:sz w:val="32"/>
          <w:szCs w:val="32"/>
          <w:lang w:bidi="ar"/>
        </w:rPr>
        <w:t>存在问题清单，以通报或整改通知形式督促</w:t>
      </w:r>
      <w:r>
        <w:rPr>
          <w:rFonts w:hint="eastAsia" w:ascii="仿宋_GB2312" w:hAnsi="仿宋_GB2312" w:eastAsia="仿宋_GB2312" w:cs="仿宋_GB2312"/>
          <w:bCs/>
          <w:sz w:val="32"/>
          <w:szCs w:val="32"/>
          <w:lang w:eastAsia="zh-Hans" w:bidi="ar"/>
        </w:rPr>
        <w:t>相关</w:t>
      </w:r>
      <w:r>
        <w:rPr>
          <w:rFonts w:hint="eastAsia" w:ascii="仿宋_GB2312" w:hAnsi="仿宋_GB2312" w:eastAsia="仿宋_GB2312" w:cs="仿宋_GB2312"/>
          <w:bCs/>
          <w:sz w:val="32"/>
          <w:szCs w:val="32"/>
          <w:lang w:bidi="ar"/>
        </w:rPr>
        <w:t>部门进行整改。同时，根据清单总结专项资金执行过程中常见问题，形成对策，与存在问题清单一并下发，为项目单位提供执行指引。</w:t>
      </w:r>
    </w:p>
    <w:p w14:paraId="04CDDEAF">
      <w:pPr>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bidi="ar"/>
        </w:rPr>
        <w:t>2.自评结果强化应用，强化刚性约束</w:t>
      </w:r>
    </w:p>
    <w:p w14:paraId="305C8E6F">
      <w:pPr>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bidi="ar"/>
        </w:rPr>
        <w:t>本次绩效评价后，北京市卫生健康委员会将综合考量各单位预算执行情况、自评得分、自评工作质量等因素，加快建立评价结果与预算编制挂钩紧密衔接的激励约束机制，并为下一年度资金项目安排提供重要参考依据。</w:t>
      </w:r>
    </w:p>
    <w:p w14:paraId="0623670E">
      <w:pPr>
        <w:widowControl/>
        <w:spacing w:line="580" w:lineRule="exact"/>
        <w:ind w:firstLine="640" w:firstLineChars="200"/>
        <w:jc w:val="left"/>
        <w:rPr>
          <w:rFonts w:ascii="楷体" w:hAnsi="楷体" w:eastAsia="楷体" w:cs="楷体"/>
          <w:bCs/>
          <w:color w:val="000000"/>
          <w:sz w:val="32"/>
          <w:szCs w:val="32"/>
          <w:lang w:bidi="ar"/>
        </w:rPr>
      </w:pPr>
      <w:r>
        <w:rPr>
          <w:rFonts w:hint="eastAsia" w:ascii="楷体" w:hAnsi="楷体" w:eastAsia="楷体" w:cs="楷体"/>
          <w:bCs/>
          <w:color w:val="000000"/>
          <w:sz w:val="32"/>
          <w:szCs w:val="32"/>
          <w:lang w:bidi="ar"/>
        </w:rPr>
        <w:t>（三）绩效自评结果公开情况</w:t>
      </w:r>
      <w:bookmarkEnd w:id="9"/>
    </w:p>
    <w:p w14:paraId="0C60B6F8">
      <w:pPr>
        <w:spacing w:line="58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lang w:bidi="ar"/>
        </w:rPr>
        <w:t>通过开展项目绩效评价，督促资金执行进度，提高资金使用效率，及时整理、归纳、分析、反馈绩效评价结果，北京市卫生健康委员会</w:t>
      </w:r>
      <w:r>
        <w:rPr>
          <w:rFonts w:hint="eastAsia" w:ascii="仿宋_GB2312" w:hAnsi="仿宋_GB2312" w:eastAsia="仿宋_GB2312" w:cs="仿宋_GB2312"/>
          <w:bCs/>
          <w:color w:val="000000"/>
          <w:sz w:val="32"/>
          <w:szCs w:val="32"/>
          <w:lang w:val="en-US" w:eastAsia="zh-CN" w:bidi="ar"/>
        </w:rPr>
        <w:t>将相关工作结果呈报上级部门审核，并按预算公开要求依法依规进行公开</w:t>
      </w:r>
      <w:r>
        <w:rPr>
          <w:rFonts w:hint="eastAsia" w:ascii="仿宋_GB2312" w:hAnsi="仿宋_GB2312" w:eastAsia="仿宋_GB2312" w:cs="仿宋_GB2312"/>
          <w:bCs/>
          <w:color w:val="000000"/>
          <w:sz w:val="32"/>
          <w:szCs w:val="32"/>
          <w:lang w:bidi="ar"/>
        </w:rPr>
        <w:t>。</w:t>
      </w:r>
    </w:p>
    <w:p w14:paraId="5C4B0E8A">
      <w:pPr>
        <w:widowControl/>
        <w:kinsoku w:val="0"/>
        <w:autoSpaceDE w:val="0"/>
        <w:autoSpaceDN w:val="0"/>
        <w:adjustRightInd w:val="0"/>
        <w:snapToGrid w:val="0"/>
        <w:spacing w:line="580" w:lineRule="exact"/>
        <w:ind w:firstLine="620" w:firstLineChars="200"/>
        <w:jc w:val="left"/>
        <w:textAlignment w:val="baseline"/>
        <w:outlineLvl w:val="1"/>
        <w:rPr>
          <w:rFonts w:ascii="黑体" w:hAnsi="黑体" w:eastAsia="黑体" w:cs="黑体"/>
          <w:bCs/>
          <w:snapToGrid w:val="0"/>
          <w:color w:val="000000"/>
          <w:spacing w:val="-5"/>
          <w:kern w:val="0"/>
          <w:sz w:val="32"/>
          <w:szCs w:val="32"/>
        </w:rPr>
      </w:pPr>
      <w:r>
        <w:rPr>
          <w:rFonts w:hint="eastAsia" w:ascii="黑体" w:hAnsi="黑体" w:eastAsia="黑体" w:cs="黑体"/>
          <w:bCs/>
          <w:snapToGrid w:val="0"/>
          <w:color w:val="000000"/>
          <w:spacing w:val="-5"/>
          <w:kern w:val="0"/>
          <w:sz w:val="32"/>
          <w:szCs w:val="32"/>
        </w:rPr>
        <w:t>五、其他需要说明的问题</w:t>
      </w:r>
    </w:p>
    <w:p w14:paraId="6FF449C1">
      <w:pPr>
        <w:widowControl/>
        <w:kinsoku w:val="0"/>
        <w:autoSpaceDE w:val="0"/>
        <w:autoSpaceDN w:val="0"/>
        <w:adjustRightInd w:val="0"/>
        <w:snapToGrid w:val="0"/>
        <w:spacing w:line="580" w:lineRule="exact"/>
        <w:ind w:firstLine="648"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pacing w:val="2"/>
          <w:sz w:val="32"/>
          <w:szCs w:val="32"/>
        </w:rPr>
        <w:t>无。</w:t>
      </w:r>
    </w:p>
    <w:p w14:paraId="339654EE">
      <w:pPr>
        <w:widowControl/>
        <w:kinsoku w:val="0"/>
        <w:autoSpaceDE w:val="0"/>
        <w:autoSpaceDN w:val="0"/>
        <w:adjustRightInd w:val="0"/>
        <w:snapToGrid w:val="0"/>
        <w:spacing w:line="580" w:lineRule="exact"/>
        <w:ind w:firstLine="620" w:firstLineChars="200"/>
        <w:jc w:val="left"/>
        <w:textAlignment w:val="baseline"/>
        <w:outlineLvl w:val="1"/>
        <w:rPr>
          <w:rFonts w:ascii="黑体" w:hAnsi="黑体" w:eastAsia="黑体" w:cs="黑体"/>
          <w:bCs/>
          <w:snapToGrid w:val="0"/>
          <w:color w:val="000000"/>
          <w:spacing w:val="-5"/>
          <w:kern w:val="0"/>
          <w:sz w:val="32"/>
          <w:szCs w:val="32"/>
        </w:rPr>
      </w:pPr>
      <w:r>
        <w:rPr>
          <w:rFonts w:ascii="黑体" w:hAnsi="黑体" w:eastAsia="黑体" w:cs="黑体"/>
          <w:bCs/>
          <w:snapToGrid w:val="0"/>
          <w:color w:val="000000"/>
          <w:spacing w:val="-5"/>
          <w:kern w:val="0"/>
          <w:sz w:val="32"/>
          <w:szCs w:val="32"/>
        </w:rPr>
        <w:t>六、附件</w:t>
      </w:r>
    </w:p>
    <w:p w14:paraId="37A1A8F4">
      <w:pPr>
        <w:widowControl/>
        <w:kinsoku w:val="0"/>
        <w:autoSpaceDE w:val="0"/>
        <w:autoSpaceDN w:val="0"/>
        <w:adjustRightInd w:val="0"/>
        <w:snapToGrid w:val="0"/>
        <w:spacing w:line="580" w:lineRule="exact"/>
        <w:ind w:firstLine="648" w:firstLineChars="200"/>
        <w:textAlignment w:val="baseline"/>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2023年北京市计划生育转移支付资金转移支付区域(项目)绩效目标自评表</w:t>
      </w:r>
    </w:p>
    <w:p w14:paraId="10E87F4D">
      <w:pPr>
        <w:pStyle w:val="7"/>
        <w:widowControl/>
        <w:kinsoku w:val="0"/>
        <w:autoSpaceDE w:val="0"/>
        <w:autoSpaceDN w:val="0"/>
        <w:adjustRightInd w:val="0"/>
        <w:snapToGrid w:val="0"/>
        <w:spacing w:line="580" w:lineRule="exact"/>
        <w:ind w:firstLine="3888" w:firstLineChars="1200"/>
        <w:textAlignment w:val="baseline"/>
        <w:rPr>
          <w:rFonts w:ascii="仿宋" w:hAnsi="仿宋" w:eastAsia="仿宋" w:cs="仿宋"/>
          <w:spacing w:val="2"/>
          <w:sz w:val="32"/>
          <w:szCs w:val="32"/>
        </w:rPr>
      </w:pPr>
    </w:p>
    <w:p w14:paraId="198B41B6">
      <w:pPr>
        <w:pStyle w:val="7"/>
        <w:widowControl/>
        <w:kinsoku w:val="0"/>
        <w:autoSpaceDE w:val="0"/>
        <w:autoSpaceDN w:val="0"/>
        <w:adjustRightInd w:val="0"/>
        <w:snapToGrid w:val="0"/>
        <w:spacing w:line="580" w:lineRule="exact"/>
        <w:ind w:firstLine="3888" w:firstLineChars="1200"/>
        <w:textAlignment w:val="baseline"/>
        <w:rPr>
          <w:rFonts w:ascii="仿宋" w:hAnsi="仿宋" w:eastAsia="仿宋" w:cs="仿宋"/>
          <w:spacing w:val="2"/>
          <w:sz w:val="32"/>
          <w:szCs w:val="32"/>
        </w:rPr>
      </w:pPr>
    </w:p>
    <w:p w14:paraId="6E9335C0">
      <w:pPr>
        <w:pStyle w:val="7"/>
        <w:widowControl/>
        <w:kinsoku w:val="0"/>
        <w:autoSpaceDE w:val="0"/>
        <w:autoSpaceDN w:val="0"/>
        <w:adjustRightInd w:val="0"/>
        <w:snapToGrid w:val="0"/>
        <w:spacing w:line="580" w:lineRule="exact"/>
        <w:ind w:firstLine="3888" w:firstLineChars="1200"/>
        <w:textAlignment w:val="baseline"/>
        <w:rPr>
          <w:rFonts w:ascii="仿宋" w:hAnsi="仿宋" w:eastAsia="仿宋" w:cs="仿宋"/>
          <w:spacing w:val="2"/>
          <w:sz w:val="32"/>
          <w:szCs w:val="32"/>
        </w:rPr>
      </w:pPr>
      <w:r>
        <w:rPr>
          <w:rFonts w:hint="eastAsia" w:ascii="仿宋" w:hAnsi="仿宋" w:eastAsia="仿宋" w:cs="仿宋"/>
          <w:spacing w:val="2"/>
          <w:sz w:val="32"/>
          <w:szCs w:val="32"/>
        </w:rPr>
        <w:t>北京市卫生健康委员会</w:t>
      </w:r>
    </w:p>
    <w:p w14:paraId="2B1DABF6">
      <w:pPr>
        <w:pStyle w:val="7"/>
        <w:widowControl/>
        <w:kinsoku w:val="0"/>
        <w:autoSpaceDE w:val="0"/>
        <w:autoSpaceDN w:val="0"/>
        <w:adjustRightInd w:val="0"/>
        <w:snapToGrid w:val="0"/>
        <w:spacing w:line="580" w:lineRule="exact"/>
        <w:ind w:firstLine="4536" w:firstLineChars="1400"/>
        <w:textAlignment w:val="baseline"/>
        <w:rPr>
          <w:rFonts w:ascii="仿宋" w:hAnsi="仿宋" w:eastAsia="仿宋" w:cs="仿宋"/>
          <w:spacing w:val="2"/>
          <w:sz w:val="32"/>
          <w:szCs w:val="32"/>
        </w:rPr>
      </w:pPr>
      <w:r>
        <w:rPr>
          <w:rFonts w:hint="eastAsia" w:ascii="仿宋" w:hAnsi="仿宋" w:eastAsia="仿宋" w:cs="仿宋"/>
          <w:spacing w:val="2"/>
          <w:sz w:val="32"/>
          <w:szCs w:val="32"/>
        </w:rPr>
        <w:t>2024年3月2</w:t>
      </w:r>
      <w:r>
        <w:rPr>
          <w:rFonts w:hint="eastAsia" w:ascii="仿宋" w:hAnsi="仿宋" w:eastAsia="仿宋" w:cs="仿宋"/>
          <w:spacing w:val="2"/>
          <w:sz w:val="32"/>
          <w:szCs w:val="32"/>
          <w:lang w:val="en-US" w:eastAsia="zh-CN"/>
        </w:rPr>
        <w:t>7</w:t>
      </w:r>
      <w:r>
        <w:rPr>
          <w:rFonts w:hint="eastAsia" w:ascii="仿宋" w:hAnsi="仿宋" w:eastAsia="仿宋" w:cs="仿宋"/>
          <w:spacing w:val="2"/>
          <w:sz w:val="32"/>
          <w:szCs w:val="32"/>
        </w:rPr>
        <w:t>日</w:t>
      </w:r>
    </w:p>
    <w:p w14:paraId="2C798CD9">
      <w:pPr>
        <w:spacing w:line="640" w:lineRule="exact"/>
        <w:jc w:val="left"/>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5CB75B9-7F4D-400E-9901-CF399DDD656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B3141572-FD56-43D8-8C37-066E663296C5}"/>
  </w:font>
  <w:font w:name="方正小标宋简体">
    <w:panose1 w:val="02000000000000000000"/>
    <w:charset w:val="86"/>
    <w:family w:val="auto"/>
    <w:pitch w:val="default"/>
    <w:sig w:usb0="00000001" w:usb1="08000000" w:usb2="00000000" w:usb3="00000000" w:csb0="00040000" w:csb1="00000000"/>
    <w:embedRegular r:id="rId3" w:fontKey="{792242AC-2E5F-476C-BC10-1C58EC4EB746}"/>
  </w:font>
  <w:font w:name="楷体_GB2312">
    <w:panose1 w:val="02010609030101010101"/>
    <w:charset w:val="86"/>
    <w:family w:val="modern"/>
    <w:pitch w:val="default"/>
    <w:sig w:usb0="00000001" w:usb1="080E0000" w:usb2="00000000" w:usb3="00000000" w:csb0="00040000" w:csb1="00000000"/>
    <w:embedRegular r:id="rId4" w:fontKey="{F7CF9A1F-1BD8-4E2F-A6EF-686F409DFC0B}"/>
  </w:font>
  <w:font w:name="PMingLiU">
    <w:altName w:val="Microsoft JhengHei UI"/>
    <w:panose1 w:val="02010601000101010101"/>
    <w:charset w:val="88"/>
    <w:family w:val="roman"/>
    <w:pitch w:val="default"/>
    <w:sig w:usb0="00000000" w:usb1="00000000" w:usb2="00000016" w:usb3="00000000" w:csb0="00100001" w:csb1="00000000"/>
    <w:embedRegular r:id="rId5" w:fontKey="{B4952B3D-6316-462C-BFFD-3CDA216D7D4C}"/>
  </w:font>
  <w:font w:name="仿宋">
    <w:panose1 w:val="02010609060101010101"/>
    <w:charset w:val="86"/>
    <w:family w:val="modern"/>
    <w:pitch w:val="default"/>
    <w:sig w:usb0="800002BF" w:usb1="38CF7CFA" w:usb2="00000016" w:usb3="00000000" w:csb0="00040001" w:csb1="00000000"/>
    <w:embedRegular r:id="rId6" w:fontKey="{A86717F9-A370-42D0-A902-98A9542E4969}"/>
  </w:font>
  <w:font w:name="楷体">
    <w:panose1 w:val="02010609060101010101"/>
    <w:charset w:val="86"/>
    <w:family w:val="modern"/>
    <w:pitch w:val="default"/>
    <w:sig w:usb0="800002BF" w:usb1="38CF7CFA" w:usb2="00000016" w:usb3="00000000" w:csb0="00040001" w:csb1="00000000"/>
    <w:embedRegular r:id="rId7" w:fontKey="{FAC9C44B-96F6-4B04-A690-DC6F6F405A41}"/>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8953231"/>
    </w:sdtPr>
    <w:sdtEndPr>
      <w:rPr>
        <w:rFonts w:asciiTheme="minorEastAsia" w:hAnsiTheme="minorEastAsia"/>
        <w:sz w:val="28"/>
        <w:szCs w:val="28"/>
      </w:rPr>
    </w:sdtEndPr>
    <w:sdtContent>
      <w:p w14:paraId="4F238CA6">
        <w:pPr>
          <w:pStyle w:val="8"/>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11</w:t>
        </w:r>
        <w:r>
          <w:rPr>
            <w:rFonts w:asciiTheme="minorEastAsia" w:hAnsiTheme="minorEastAsia"/>
            <w:sz w:val="28"/>
            <w:szCs w:val="28"/>
          </w:rPr>
          <w:fldChar w:fldCharType="end"/>
        </w:r>
      </w:p>
    </w:sdtContent>
  </w:sdt>
  <w:p w14:paraId="5A0D32A7">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A0F67C"/>
    <w:multiLevelType w:val="singleLevel"/>
    <w:tmpl w:val="53A0F67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wZDM2ODhiMTEwNDkyMjhmYWYxMmJlZGZlMTNmN2YifQ=="/>
  </w:docVars>
  <w:rsids>
    <w:rsidRoot w:val="09CC77A3"/>
    <w:rsid w:val="00022F32"/>
    <w:rsid w:val="00072A6E"/>
    <w:rsid w:val="000E1B6D"/>
    <w:rsid w:val="000E4D34"/>
    <w:rsid w:val="000F74F9"/>
    <w:rsid w:val="00100231"/>
    <w:rsid w:val="0010219E"/>
    <w:rsid w:val="00132F2C"/>
    <w:rsid w:val="0014554D"/>
    <w:rsid w:val="00146F84"/>
    <w:rsid w:val="001762E2"/>
    <w:rsid w:val="001765E2"/>
    <w:rsid w:val="001D501E"/>
    <w:rsid w:val="00201120"/>
    <w:rsid w:val="00204033"/>
    <w:rsid w:val="002069EB"/>
    <w:rsid w:val="00236EE2"/>
    <w:rsid w:val="002379CB"/>
    <w:rsid w:val="00277F9A"/>
    <w:rsid w:val="002B4D31"/>
    <w:rsid w:val="002C1265"/>
    <w:rsid w:val="002D2B06"/>
    <w:rsid w:val="002D373A"/>
    <w:rsid w:val="002D6BD2"/>
    <w:rsid w:val="002F4BF7"/>
    <w:rsid w:val="00324079"/>
    <w:rsid w:val="003570AE"/>
    <w:rsid w:val="00381A37"/>
    <w:rsid w:val="00382478"/>
    <w:rsid w:val="003A4E6D"/>
    <w:rsid w:val="003B134A"/>
    <w:rsid w:val="003D473C"/>
    <w:rsid w:val="003D7EC5"/>
    <w:rsid w:val="003E07A5"/>
    <w:rsid w:val="00461E9B"/>
    <w:rsid w:val="0047647C"/>
    <w:rsid w:val="00484C3A"/>
    <w:rsid w:val="00491827"/>
    <w:rsid w:val="004966BD"/>
    <w:rsid w:val="004A5660"/>
    <w:rsid w:val="004A6EDF"/>
    <w:rsid w:val="004D6F39"/>
    <w:rsid w:val="004E5F78"/>
    <w:rsid w:val="0050117C"/>
    <w:rsid w:val="00522D70"/>
    <w:rsid w:val="00523E00"/>
    <w:rsid w:val="005264FB"/>
    <w:rsid w:val="00537F86"/>
    <w:rsid w:val="00545CD1"/>
    <w:rsid w:val="00556BF1"/>
    <w:rsid w:val="00567510"/>
    <w:rsid w:val="005676CD"/>
    <w:rsid w:val="00587C0B"/>
    <w:rsid w:val="005A7D52"/>
    <w:rsid w:val="005B42F8"/>
    <w:rsid w:val="005F1334"/>
    <w:rsid w:val="00617432"/>
    <w:rsid w:val="00647431"/>
    <w:rsid w:val="00653269"/>
    <w:rsid w:val="00663C80"/>
    <w:rsid w:val="00664DF2"/>
    <w:rsid w:val="006849BB"/>
    <w:rsid w:val="0069349E"/>
    <w:rsid w:val="0069365F"/>
    <w:rsid w:val="006B70A0"/>
    <w:rsid w:val="006C68C5"/>
    <w:rsid w:val="00703B29"/>
    <w:rsid w:val="0073123B"/>
    <w:rsid w:val="007559D9"/>
    <w:rsid w:val="00762643"/>
    <w:rsid w:val="00782DF4"/>
    <w:rsid w:val="007B161C"/>
    <w:rsid w:val="007B4C0B"/>
    <w:rsid w:val="007E54E1"/>
    <w:rsid w:val="00807EAF"/>
    <w:rsid w:val="0083327E"/>
    <w:rsid w:val="00854721"/>
    <w:rsid w:val="0088514D"/>
    <w:rsid w:val="00892209"/>
    <w:rsid w:val="00894F79"/>
    <w:rsid w:val="008A4679"/>
    <w:rsid w:val="008B7C84"/>
    <w:rsid w:val="008D4E9C"/>
    <w:rsid w:val="008E5B39"/>
    <w:rsid w:val="00963D9C"/>
    <w:rsid w:val="0096618A"/>
    <w:rsid w:val="009C4BAA"/>
    <w:rsid w:val="009E16A0"/>
    <w:rsid w:val="009E7EAC"/>
    <w:rsid w:val="00A518FE"/>
    <w:rsid w:val="00A85346"/>
    <w:rsid w:val="00AD7205"/>
    <w:rsid w:val="00B159F0"/>
    <w:rsid w:val="00B17570"/>
    <w:rsid w:val="00B3575E"/>
    <w:rsid w:val="00B379D3"/>
    <w:rsid w:val="00B5142F"/>
    <w:rsid w:val="00B613CB"/>
    <w:rsid w:val="00B65EAF"/>
    <w:rsid w:val="00B6685E"/>
    <w:rsid w:val="00B72CD9"/>
    <w:rsid w:val="00B9427E"/>
    <w:rsid w:val="00BA6141"/>
    <w:rsid w:val="00BC307C"/>
    <w:rsid w:val="00BD5C1C"/>
    <w:rsid w:val="00BD65CB"/>
    <w:rsid w:val="00C21582"/>
    <w:rsid w:val="00C36420"/>
    <w:rsid w:val="00C524A7"/>
    <w:rsid w:val="00C95729"/>
    <w:rsid w:val="00CF15FF"/>
    <w:rsid w:val="00D30D34"/>
    <w:rsid w:val="00D373C5"/>
    <w:rsid w:val="00D835A8"/>
    <w:rsid w:val="00D93072"/>
    <w:rsid w:val="00DB2186"/>
    <w:rsid w:val="00DC2BBA"/>
    <w:rsid w:val="00DE5C66"/>
    <w:rsid w:val="00DF7F8D"/>
    <w:rsid w:val="00E52533"/>
    <w:rsid w:val="00E67D36"/>
    <w:rsid w:val="00E77CDE"/>
    <w:rsid w:val="00E80830"/>
    <w:rsid w:val="00EA753E"/>
    <w:rsid w:val="00EC229A"/>
    <w:rsid w:val="00EC4DBA"/>
    <w:rsid w:val="00EE3563"/>
    <w:rsid w:val="00EF678A"/>
    <w:rsid w:val="00F2741E"/>
    <w:rsid w:val="00F31E88"/>
    <w:rsid w:val="00F37D0C"/>
    <w:rsid w:val="00F93822"/>
    <w:rsid w:val="00FA694F"/>
    <w:rsid w:val="00FC6B57"/>
    <w:rsid w:val="00FD1C1D"/>
    <w:rsid w:val="00FE2F6F"/>
    <w:rsid w:val="00FE3296"/>
    <w:rsid w:val="00FF3184"/>
    <w:rsid w:val="01366D4C"/>
    <w:rsid w:val="01D65764"/>
    <w:rsid w:val="02382502"/>
    <w:rsid w:val="05BD27A8"/>
    <w:rsid w:val="06B71F44"/>
    <w:rsid w:val="09CC77A3"/>
    <w:rsid w:val="0CA53A9E"/>
    <w:rsid w:val="12770647"/>
    <w:rsid w:val="12F41F9B"/>
    <w:rsid w:val="13BC1F1B"/>
    <w:rsid w:val="1C7A583D"/>
    <w:rsid w:val="1D335E9C"/>
    <w:rsid w:val="1DF438DE"/>
    <w:rsid w:val="214D02AA"/>
    <w:rsid w:val="22FC2731"/>
    <w:rsid w:val="234E76E1"/>
    <w:rsid w:val="29693576"/>
    <w:rsid w:val="2B0D3313"/>
    <w:rsid w:val="30F96868"/>
    <w:rsid w:val="314E3D30"/>
    <w:rsid w:val="329627FE"/>
    <w:rsid w:val="35A5434E"/>
    <w:rsid w:val="35BE4669"/>
    <w:rsid w:val="370F2D20"/>
    <w:rsid w:val="3BBF7D7D"/>
    <w:rsid w:val="3BD04FFD"/>
    <w:rsid w:val="3C276062"/>
    <w:rsid w:val="3DEEAEB1"/>
    <w:rsid w:val="3EDF1F3A"/>
    <w:rsid w:val="3EF31ECB"/>
    <w:rsid w:val="3EF362A7"/>
    <w:rsid w:val="3F4E2474"/>
    <w:rsid w:val="44E1482C"/>
    <w:rsid w:val="4767620A"/>
    <w:rsid w:val="48A013C5"/>
    <w:rsid w:val="4C8D1196"/>
    <w:rsid w:val="57D729D0"/>
    <w:rsid w:val="5C3B6AAA"/>
    <w:rsid w:val="5D1B4AB5"/>
    <w:rsid w:val="5E2356B9"/>
    <w:rsid w:val="5ED63530"/>
    <w:rsid w:val="61A8654E"/>
    <w:rsid w:val="64624694"/>
    <w:rsid w:val="6B3576F7"/>
    <w:rsid w:val="6EA625F9"/>
    <w:rsid w:val="6EDE5D5F"/>
    <w:rsid w:val="719C4235"/>
    <w:rsid w:val="73FFD181"/>
    <w:rsid w:val="75EA59A5"/>
    <w:rsid w:val="776F76DE"/>
    <w:rsid w:val="78376848"/>
    <w:rsid w:val="78585848"/>
    <w:rsid w:val="7FB5874D"/>
    <w:rsid w:val="7FBA60D4"/>
    <w:rsid w:val="7FFD3517"/>
    <w:rsid w:val="9F98D17B"/>
    <w:rsid w:val="B8FFC014"/>
    <w:rsid w:val="CD6F8FBF"/>
    <w:rsid w:val="D7776045"/>
    <w:rsid w:val="DFB583EA"/>
    <w:rsid w:val="DFF8C9C3"/>
    <w:rsid w:val="ECFD6020"/>
    <w:rsid w:val="EDFB0773"/>
    <w:rsid w:val="FDFFE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rFonts w:ascii="Calibri" w:hAnsi="Calibri" w:eastAsia="宋体" w:cs="Times New Roman"/>
      <w:b/>
      <w:bCs/>
      <w:kern w:val="44"/>
      <w:sz w:val="44"/>
      <w:szCs w:val="44"/>
    </w:rPr>
  </w:style>
  <w:style w:type="paragraph" w:styleId="4">
    <w:name w:val="heading 2"/>
    <w:basedOn w:val="1"/>
    <w:next w:val="1"/>
    <w:autoRedefine/>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index 9"/>
    <w:basedOn w:val="1"/>
    <w:next w:val="1"/>
    <w:autoRedefine/>
    <w:unhideWhenUsed/>
    <w:qFormat/>
    <w:uiPriority w:val="99"/>
    <w:pPr>
      <w:ind w:firstLine="420"/>
    </w:pPr>
    <w:rPr>
      <w:rFonts w:eastAsia="仿宋_GB2312"/>
      <w:bCs/>
      <w:sz w:val="28"/>
      <w:szCs w:val="28"/>
    </w:rPr>
  </w:style>
  <w:style w:type="paragraph" w:styleId="5">
    <w:name w:val="annotation text"/>
    <w:basedOn w:val="1"/>
    <w:link w:val="21"/>
    <w:autoRedefine/>
    <w:qFormat/>
    <w:uiPriority w:val="0"/>
    <w:pPr>
      <w:jc w:val="left"/>
    </w:pPr>
  </w:style>
  <w:style w:type="paragraph" w:styleId="6">
    <w:name w:val="Body Text"/>
    <w:basedOn w:val="1"/>
    <w:next w:val="1"/>
    <w:autoRedefine/>
    <w:semiHidden/>
    <w:unhideWhenUsed/>
    <w:qFormat/>
    <w:uiPriority w:val="99"/>
    <w:pPr>
      <w:spacing w:after="120"/>
    </w:pPr>
  </w:style>
  <w:style w:type="paragraph" w:styleId="7">
    <w:name w:val="Plain Text"/>
    <w:basedOn w:val="1"/>
    <w:autoRedefine/>
    <w:unhideWhenUsed/>
    <w:qFormat/>
    <w:uiPriority w:val="99"/>
    <w:rPr>
      <w:rFonts w:ascii="宋体" w:hAnsi="Courier New"/>
    </w:rPr>
  </w:style>
  <w:style w:type="paragraph" w:styleId="8">
    <w:name w:val="footer"/>
    <w:basedOn w:val="1"/>
    <w:link w:val="19"/>
    <w:autoRedefine/>
    <w:qFormat/>
    <w:uiPriority w:val="99"/>
    <w:pPr>
      <w:tabs>
        <w:tab w:val="center" w:pos="4153"/>
        <w:tab w:val="right" w:pos="8306"/>
      </w:tabs>
      <w:snapToGrid w:val="0"/>
      <w:jc w:val="left"/>
    </w:pPr>
    <w:rPr>
      <w:sz w:val="18"/>
      <w:szCs w:val="18"/>
    </w:rPr>
  </w:style>
  <w:style w:type="paragraph" w:styleId="9">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5"/>
    <w:next w:val="5"/>
    <w:link w:val="22"/>
    <w:autoRedefine/>
    <w:semiHidden/>
    <w:unhideWhenUsed/>
    <w:qFormat/>
    <w:uiPriority w:val="0"/>
    <w:rPr>
      <w:b/>
      <w:bCs/>
    </w:rPr>
  </w:style>
  <w:style w:type="table" w:styleId="12">
    <w:name w:val="Table Grid"/>
    <w:basedOn w:val="11"/>
    <w:autoRedefine/>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autoRedefine/>
    <w:qFormat/>
    <w:uiPriority w:val="0"/>
    <w:rPr>
      <w:sz w:val="21"/>
      <w:szCs w:val="21"/>
    </w:rPr>
  </w:style>
  <w:style w:type="paragraph" w:customStyle="1" w:styleId="15">
    <w:name w:val="Body text|2"/>
    <w:basedOn w:val="1"/>
    <w:autoRedefine/>
    <w:qFormat/>
    <w:uiPriority w:val="0"/>
    <w:pPr>
      <w:spacing w:line="590" w:lineRule="exact"/>
      <w:ind w:firstLine="580"/>
    </w:pPr>
    <w:rPr>
      <w:rFonts w:ascii="宋体" w:hAnsi="宋体" w:eastAsia="宋体" w:cs="宋体"/>
      <w:lang w:val="zh-TW" w:eastAsia="zh-TW" w:bidi="zh-TW"/>
    </w:rPr>
  </w:style>
  <w:style w:type="paragraph" w:customStyle="1" w:styleId="16">
    <w:name w:val="Header or footer|1"/>
    <w:basedOn w:val="1"/>
    <w:autoRedefine/>
    <w:qFormat/>
    <w:uiPriority w:val="0"/>
    <w:rPr>
      <w:sz w:val="28"/>
      <w:szCs w:val="28"/>
      <w:lang w:val="zh-TW" w:eastAsia="zh-TW" w:bidi="zh-TW"/>
    </w:rPr>
  </w:style>
  <w:style w:type="character" w:customStyle="1" w:styleId="17">
    <w:name w:val="fontstyle11"/>
    <w:basedOn w:val="13"/>
    <w:autoRedefine/>
    <w:qFormat/>
    <w:uiPriority w:val="0"/>
    <w:rPr>
      <w:rFonts w:hint="eastAsia" w:ascii="黑体" w:hAnsi="黑体" w:eastAsia="黑体"/>
      <w:color w:val="000000"/>
      <w:sz w:val="56"/>
      <w:szCs w:val="56"/>
    </w:rPr>
  </w:style>
  <w:style w:type="character" w:customStyle="1" w:styleId="18">
    <w:name w:val="页眉 字符"/>
    <w:basedOn w:val="13"/>
    <w:link w:val="9"/>
    <w:autoRedefine/>
    <w:qFormat/>
    <w:uiPriority w:val="0"/>
    <w:rPr>
      <w:rFonts w:asciiTheme="minorHAnsi" w:hAnsiTheme="minorHAnsi" w:eastAsiaTheme="minorEastAsia" w:cstheme="minorBidi"/>
      <w:kern w:val="2"/>
      <w:sz w:val="18"/>
      <w:szCs w:val="18"/>
    </w:rPr>
  </w:style>
  <w:style w:type="character" w:customStyle="1" w:styleId="19">
    <w:name w:val="页脚 字符"/>
    <w:basedOn w:val="13"/>
    <w:link w:val="8"/>
    <w:autoRedefine/>
    <w:qFormat/>
    <w:uiPriority w:val="99"/>
    <w:rPr>
      <w:rFonts w:asciiTheme="minorHAnsi" w:hAnsiTheme="minorHAnsi" w:eastAsiaTheme="minorEastAsia" w:cstheme="minorBidi"/>
      <w:kern w:val="2"/>
      <w:sz w:val="18"/>
      <w:szCs w:val="18"/>
    </w:rPr>
  </w:style>
  <w:style w:type="character" w:customStyle="1" w:styleId="20">
    <w:name w:val="font11"/>
    <w:basedOn w:val="13"/>
    <w:autoRedefine/>
    <w:qFormat/>
    <w:uiPriority w:val="0"/>
    <w:rPr>
      <w:rFonts w:hint="eastAsia" w:ascii="宋体" w:hAnsi="宋体" w:eastAsia="宋体" w:cs="宋体"/>
      <w:color w:val="000000"/>
      <w:sz w:val="16"/>
      <w:szCs w:val="16"/>
      <w:u w:val="none"/>
    </w:rPr>
  </w:style>
  <w:style w:type="character" w:customStyle="1" w:styleId="21">
    <w:name w:val="批注文字 字符"/>
    <w:basedOn w:val="13"/>
    <w:link w:val="5"/>
    <w:autoRedefine/>
    <w:qFormat/>
    <w:uiPriority w:val="0"/>
    <w:rPr>
      <w:rFonts w:asciiTheme="minorHAnsi" w:hAnsiTheme="minorHAnsi" w:eastAsiaTheme="minorEastAsia" w:cstheme="minorBidi"/>
      <w:kern w:val="2"/>
      <w:sz w:val="21"/>
      <w:szCs w:val="24"/>
    </w:rPr>
  </w:style>
  <w:style w:type="character" w:customStyle="1" w:styleId="22">
    <w:name w:val="批注主题 字符"/>
    <w:basedOn w:val="21"/>
    <w:link w:val="10"/>
    <w:autoRedefine/>
    <w:semiHidden/>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4749</Words>
  <Characters>5276</Characters>
  <Lines>64</Lines>
  <Paragraphs>18</Paragraphs>
  <TotalTime>0</TotalTime>
  <ScaleCrop>false</ScaleCrop>
  <LinksUpToDate>false</LinksUpToDate>
  <CharactersWithSpaces>5288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2022-02-24T05:45:00Z</dcterms:created>
  <dc:creator>曹晨</dc:creator>
  <cp:lastModifiedBy>秉</cp:lastModifiedBy>
  <cp:lastPrinted>2023-05-17T07:12:00Z</cp:lastPrinted>
  <dcterms:modified xsi:type="dcterms:W3CDTF">2024-09-05T08:33:34Z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4D3C70597E774EFDBECBA12F1C56289F_13</vt:lpwstr>
  </property>
  <property fmtid="{D5CDD505-2E9C-101B-9397-08002B2CF9AE}" pid="4" name="GrammarlyDocumentId">
    <vt:lpwstr>1263db9ca816f147922d9802d9a2e58b76e3a614fb2a089818b5af1cff152633</vt:lpwstr>
  </property>
</Properties>
</file>