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黑体" w:eastAsia="方正小标宋简体" w:cs="Times New Roman"/>
          <w:snapToGrid/>
          <w:color w:val="auto"/>
          <w:kern w:val="2"/>
          <w:sz w:val="44"/>
          <w:szCs w:val="44"/>
        </w:rPr>
      </w:pPr>
    </w:p>
    <w:p>
      <w:pPr>
        <w:spacing w:line="560" w:lineRule="exact"/>
        <w:jc w:val="center"/>
        <w:rPr>
          <w:rFonts w:ascii="方正小标宋简体" w:hAnsi="黑体" w:eastAsia="方正小标宋简体" w:cs="Times New Roman"/>
          <w:snapToGrid/>
          <w:color w:val="auto"/>
          <w:kern w:val="2"/>
          <w:sz w:val="44"/>
          <w:szCs w:val="44"/>
        </w:rPr>
      </w:pPr>
      <w:r>
        <w:rPr>
          <w:rFonts w:hint="eastAsia" w:ascii="方正小标宋简体" w:hAnsi="黑体" w:eastAsia="方正小标宋简体" w:cs="Times New Roman"/>
          <w:snapToGrid/>
          <w:color w:val="auto"/>
          <w:kern w:val="2"/>
          <w:sz w:val="44"/>
          <w:szCs w:val="44"/>
        </w:rPr>
        <w:t>北京市基本药物制度补助资金转移支付2023年度绩效自评报告</w:t>
      </w:r>
    </w:p>
    <w:p>
      <w:pPr>
        <w:pStyle w:val="7"/>
        <w:rPr>
          <w:rFonts w:ascii="方正小标宋简体" w:hAnsi="黑体" w:eastAsia="方正小标宋简体" w:cs="Times New Roman"/>
          <w:snapToGrid/>
          <w:color w:val="auto"/>
          <w:kern w:val="2"/>
          <w:sz w:val="44"/>
          <w:szCs w:val="44"/>
        </w:rPr>
      </w:pPr>
    </w:p>
    <w:p>
      <w:pPr>
        <w:pStyle w:val="7"/>
        <w:spacing w:line="58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为了贯彻落实《中共中央国务院关于全面实施预算绩效管理的意见》《中共北京市委北京市人民政府关于全面实施预算绩效管理的实施意见》有关精神，加快建成全方位、全过程、全覆盖的预算绩效管理体系，切实增强资金使用单位支出绩效意识，提高中央对地方转移支付资金使用效益，根据《财政部关于开展2023年度中央对地方转移支付预算执行情况绩效自评工作的通知》（财监〔2024〕3号）文件要求，北京市卫生健康委员会组织开展了2023年北京市基本药物制度补助资金转移支付的绩效自评工作，形成绩效自评报告。</w:t>
      </w:r>
    </w:p>
    <w:p>
      <w:pPr>
        <w:spacing w:line="580" w:lineRule="exact"/>
        <w:ind w:firstLine="640" w:firstLineChars="200"/>
        <w:outlineLvl w:val="0"/>
        <w:rPr>
          <w:rFonts w:ascii="黑体" w:hAnsi="宋体" w:eastAsia="黑体" w:cs="黑体"/>
          <w:bCs/>
          <w:sz w:val="32"/>
          <w:szCs w:val="32"/>
          <w:lang w:bidi="ar"/>
        </w:rPr>
      </w:pPr>
      <w:bookmarkStart w:id="0" w:name="_Toc1146578714_WPSOffice_Level1"/>
      <w:r>
        <w:rPr>
          <w:rFonts w:hint="eastAsia" w:ascii="黑体" w:hAnsi="宋体" w:eastAsia="黑体" w:cs="黑体"/>
          <w:bCs/>
          <w:sz w:val="32"/>
          <w:szCs w:val="32"/>
          <w:lang w:bidi="ar"/>
        </w:rPr>
        <w:t>一、</w:t>
      </w:r>
      <w:r>
        <w:rPr>
          <w:rFonts w:hint="eastAsia" w:ascii="黑体" w:hAnsi="宋体" w:eastAsia="黑体" w:cs="黑体"/>
          <w:bCs/>
          <w:sz w:val="32"/>
          <w:szCs w:val="32"/>
          <w:lang w:eastAsia="zh-Hans" w:bidi="ar"/>
        </w:rPr>
        <w:t>绩效目标分解下达情况</w:t>
      </w:r>
      <w:bookmarkEnd w:id="0"/>
    </w:p>
    <w:p>
      <w:pPr>
        <w:pStyle w:val="7"/>
        <w:spacing w:line="580" w:lineRule="exact"/>
        <w:ind w:firstLine="640" w:firstLineChars="200"/>
        <w:rPr>
          <w:rFonts w:ascii="楷体_GB2312" w:hAnsi="楷体_GB2312" w:eastAsia="楷体_GB2312" w:cs="楷体_GB2312"/>
          <w:bCs/>
          <w:kern w:val="2"/>
          <w:sz w:val="32"/>
          <w:szCs w:val="32"/>
          <w:lang w:bidi="ar"/>
        </w:rPr>
      </w:pPr>
      <w:bookmarkStart w:id="1" w:name="_Toc1177681667_WPSOffice_Level2"/>
      <w:r>
        <w:rPr>
          <w:rFonts w:hint="eastAsia" w:ascii="楷体_GB2312" w:hAnsi="楷体_GB2312" w:eastAsia="楷体_GB2312" w:cs="楷体_GB2312"/>
          <w:bCs/>
          <w:kern w:val="2"/>
          <w:sz w:val="32"/>
          <w:szCs w:val="32"/>
          <w:lang w:bidi="ar"/>
        </w:rPr>
        <w:t>（一）</w:t>
      </w:r>
      <w:bookmarkEnd w:id="1"/>
      <w:r>
        <w:rPr>
          <w:rFonts w:hint="eastAsia" w:ascii="楷体_GB2312" w:hAnsi="楷体_GB2312" w:eastAsia="楷体_GB2312" w:cs="楷体_GB2312"/>
          <w:bCs/>
          <w:kern w:val="2"/>
          <w:sz w:val="32"/>
          <w:szCs w:val="32"/>
          <w:lang w:bidi="ar"/>
        </w:rPr>
        <w:t>2023年度转移支付资金下达情况</w:t>
      </w:r>
    </w:p>
    <w:p>
      <w:pPr>
        <w:pStyle w:val="7"/>
        <w:spacing w:line="580" w:lineRule="exact"/>
        <w:ind w:firstLine="640" w:firstLineChars="200"/>
        <w:jc w:val="both"/>
        <w:rPr>
          <w:rFonts w:ascii="仿宋_GB2312" w:hAnsi="仿宋" w:eastAsia="仿宋_GB2312" w:cs="仿宋_GB2312"/>
          <w:sz w:val="32"/>
          <w:szCs w:val="32"/>
          <w:lang w:eastAsia="zh-Hans" w:bidi="ar"/>
        </w:rPr>
      </w:pPr>
      <w:r>
        <w:rPr>
          <w:rFonts w:hint="eastAsia" w:ascii="仿宋_GB2312" w:hAnsi="仿宋" w:eastAsia="仿宋_GB2312" w:cs="仿宋_GB2312"/>
          <w:sz w:val="32"/>
          <w:szCs w:val="32"/>
          <w:lang w:eastAsia="zh-Hans" w:bidi="ar"/>
        </w:rPr>
        <w:t>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年</w:t>
      </w:r>
      <w:r>
        <w:rPr>
          <w:rFonts w:hint="eastAsia" w:ascii="仿宋_GB2312" w:hAnsi="仿宋" w:eastAsia="仿宋_GB2312" w:cs="仿宋_GB2312"/>
          <w:sz w:val="32"/>
          <w:szCs w:val="32"/>
          <w:lang w:bidi="ar"/>
        </w:rPr>
        <w:t>北京市基本药物制度补助资金转移支付</w:t>
      </w:r>
      <w:r>
        <w:rPr>
          <w:rFonts w:hint="eastAsia" w:ascii="仿宋_GB2312" w:hAnsi="仿宋" w:eastAsia="仿宋_GB2312" w:cs="仿宋_GB2312"/>
          <w:sz w:val="32"/>
          <w:szCs w:val="32"/>
          <w:lang w:eastAsia="zh-Hans" w:bidi="ar"/>
        </w:rPr>
        <w:t>共计1,7</w:t>
      </w:r>
      <w:r>
        <w:rPr>
          <w:rFonts w:hint="eastAsia" w:ascii="仿宋_GB2312" w:hAnsi="仿宋" w:eastAsia="仿宋_GB2312" w:cs="仿宋_GB2312"/>
          <w:sz w:val="32"/>
          <w:szCs w:val="32"/>
          <w:lang w:bidi="ar"/>
        </w:rPr>
        <w:t>89</w:t>
      </w:r>
      <w:r>
        <w:rPr>
          <w:rFonts w:hint="eastAsia" w:ascii="仿宋_GB2312" w:hAnsi="仿宋" w:eastAsia="仿宋_GB2312" w:cs="仿宋_GB2312"/>
          <w:sz w:val="32"/>
          <w:szCs w:val="32"/>
          <w:lang w:eastAsia="zh-Hans" w:bidi="ar"/>
        </w:rPr>
        <w:t>万元，分</w:t>
      </w:r>
      <w:r>
        <w:rPr>
          <w:rFonts w:hint="eastAsia" w:ascii="仿宋_GB2312" w:hAnsi="仿宋" w:eastAsia="仿宋_GB2312" w:cs="仿宋_GB2312"/>
          <w:sz w:val="32"/>
          <w:szCs w:val="32"/>
          <w:lang w:bidi="ar"/>
        </w:rPr>
        <w:t>两</w:t>
      </w:r>
      <w:r>
        <w:rPr>
          <w:rFonts w:hint="eastAsia" w:ascii="仿宋_GB2312" w:hAnsi="仿宋" w:eastAsia="仿宋_GB2312" w:cs="仿宋_GB2312"/>
          <w:sz w:val="32"/>
          <w:szCs w:val="32"/>
          <w:lang w:eastAsia="zh-Hans" w:bidi="ar"/>
        </w:rPr>
        <w:t>次下达：根据《财政部</w:t>
      </w:r>
      <w:r>
        <w:rPr>
          <w:rFonts w:hint="eastAsia" w:ascii="仿宋_GB2312" w:hAnsi="仿宋" w:eastAsia="仿宋_GB2312" w:cs="仿宋_GB2312"/>
          <w:sz w:val="32"/>
          <w:szCs w:val="32"/>
          <w:lang w:bidi="ar"/>
        </w:rPr>
        <w:t xml:space="preserve"> </w:t>
      </w:r>
      <w:r>
        <w:rPr>
          <w:rFonts w:hint="eastAsia" w:ascii="仿宋_GB2312" w:hAnsi="仿宋" w:eastAsia="仿宋_GB2312" w:cs="仿宋_GB2312"/>
          <w:sz w:val="32"/>
          <w:szCs w:val="32"/>
          <w:lang w:eastAsia="zh-Hans" w:bidi="ar"/>
        </w:rPr>
        <w:t>国家</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关于提前下达202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年基本药物制度补助资金预算的通知》（财社〔202</w:t>
      </w:r>
      <w:r>
        <w:rPr>
          <w:rFonts w:hint="eastAsia" w:ascii="仿宋_GB2312" w:hAnsi="仿宋" w:eastAsia="仿宋_GB2312" w:cs="仿宋_GB2312"/>
          <w:sz w:val="32"/>
          <w:szCs w:val="32"/>
          <w:lang w:bidi="ar"/>
        </w:rPr>
        <w:t>2</w:t>
      </w:r>
      <w:r>
        <w:rPr>
          <w:rFonts w:hint="eastAsia" w:ascii="仿宋_GB2312" w:hAnsi="仿宋" w:eastAsia="仿宋_GB2312" w:cs="仿宋_GB2312"/>
          <w:sz w:val="32"/>
          <w:szCs w:val="32"/>
          <w:lang w:eastAsia="zh-Hans" w:bidi="ar"/>
        </w:rPr>
        <w:t>〕1</w:t>
      </w:r>
      <w:r>
        <w:rPr>
          <w:rFonts w:hint="eastAsia" w:ascii="仿宋_GB2312" w:hAnsi="仿宋" w:eastAsia="仿宋_GB2312" w:cs="仿宋_GB2312"/>
          <w:sz w:val="32"/>
          <w:szCs w:val="32"/>
          <w:lang w:bidi="ar"/>
        </w:rPr>
        <w:t>32</w:t>
      </w:r>
      <w:r>
        <w:rPr>
          <w:rFonts w:hint="eastAsia" w:ascii="仿宋_GB2312" w:hAnsi="仿宋" w:eastAsia="仿宋_GB2312" w:cs="仿宋_GB2312"/>
          <w:sz w:val="32"/>
          <w:szCs w:val="32"/>
          <w:lang w:eastAsia="zh-Hans" w:bidi="ar"/>
        </w:rPr>
        <w:t>号）文件，提前下达202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年</w:t>
      </w:r>
      <w:r>
        <w:rPr>
          <w:rFonts w:hint="eastAsia" w:ascii="仿宋_GB2312" w:hAnsi="仿宋" w:eastAsia="仿宋_GB2312" w:cs="仿宋_GB2312"/>
          <w:sz w:val="32"/>
          <w:szCs w:val="32"/>
          <w:lang w:bidi="ar"/>
        </w:rPr>
        <w:t>北京市基本药物制度补助资金转移支付1,567</w:t>
      </w:r>
      <w:r>
        <w:rPr>
          <w:rFonts w:hint="eastAsia" w:ascii="仿宋_GB2312" w:hAnsi="仿宋" w:eastAsia="仿宋_GB2312" w:cs="仿宋_GB2312"/>
          <w:sz w:val="32"/>
          <w:szCs w:val="32"/>
          <w:lang w:eastAsia="zh-Hans" w:bidi="ar"/>
        </w:rPr>
        <w:t>万元；根据《财政部</w:t>
      </w:r>
      <w:r>
        <w:rPr>
          <w:rFonts w:hint="eastAsia" w:ascii="仿宋_GB2312" w:hAnsi="仿宋" w:eastAsia="仿宋_GB2312" w:cs="仿宋_GB2312"/>
          <w:sz w:val="32"/>
          <w:szCs w:val="32"/>
          <w:lang w:bidi="ar"/>
        </w:rPr>
        <w:t xml:space="preserve"> </w:t>
      </w:r>
      <w:r>
        <w:rPr>
          <w:rFonts w:hint="eastAsia" w:ascii="仿宋_GB2312" w:hAnsi="仿宋" w:eastAsia="仿宋_GB2312" w:cs="仿宋_GB2312"/>
          <w:sz w:val="32"/>
          <w:szCs w:val="32"/>
          <w:lang w:eastAsia="zh-Hans" w:bidi="ar"/>
        </w:rPr>
        <w:t>国家</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关于下达202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年基本药物制度补助资金预算的通知》（财社〔202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w:t>
      </w:r>
      <w:r>
        <w:rPr>
          <w:rFonts w:hint="eastAsia" w:ascii="仿宋_GB2312" w:hAnsi="仿宋" w:eastAsia="仿宋_GB2312" w:cs="仿宋_GB2312"/>
          <w:sz w:val="32"/>
          <w:szCs w:val="32"/>
          <w:lang w:bidi="ar"/>
        </w:rPr>
        <w:t>35</w:t>
      </w:r>
      <w:r>
        <w:rPr>
          <w:rFonts w:hint="eastAsia" w:ascii="仿宋_GB2312" w:hAnsi="仿宋" w:eastAsia="仿宋_GB2312" w:cs="仿宋_GB2312"/>
          <w:sz w:val="32"/>
          <w:szCs w:val="32"/>
          <w:lang w:eastAsia="zh-Hans" w:bidi="ar"/>
        </w:rPr>
        <w:t>号）文件，下达资金</w:t>
      </w:r>
      <w:r>
        <w:rPr>
          <w:rFonts w:hint="eastAsia" w:ascii="仿宋_GB2312" w:hAnsi="仿宋" w:eastAsia="仿宋_GB2312" w:cs="仿宋_GB2312"/>
          <w:sz w:val="32"/>
          <w:szCs w:val="32"/>
          <w:lang w:bidi="ar"/>
        </w:rPr>
        <w:t>222</w:t>
      </w:r>
      <w:r>
        <w:rPr>
          <w:rFonts w:hint="eastAsia" w:ascii="仿宋_GB2312" w:hAnsi="仿宋" w:eastAsia="仿宋_GB2312" w:cs="仿宋_GB2312"/>
          <w:sz w:val="32"/>
          <w:szCs w:val="32"/>
          <w:lang w:eastAsia="zh-Hans" w:bidi="ar"/>
        </w:rPr>
        <w:t>万元。</w:t>
      </w:r>
    </w:p>
    <w:p>
      <w:pPr>
        <w:pStyle w:val="7"/>
        <w:spacing w:line="580" w:lineRule="exact"/>
        <w:ind w:firstLine="640" w:firstLineChars="200"/>
        <w:jc w:val="both"/>
        <w:rPr>
          <w:rFonts w:ascii="仿宋_GB2312" w:hAnsi="仿宋" w:eastAsia="仿宋_GB2312" w:cs="仿宋_GB2312"/>
          <w:sz w:val="32"/>
          <w:szCs w:val="32"/>
          <w:highlight w:val="yellow"/>
          <w:lang w:eastAsia="zh-Hans" w:bidi="ar"/>
        </w:rPr>
      </w:pPr>
      <w:r>
        <w:rPr>
          <w:rFonts w:hint="eastAsia" w:ascii="仿宋_GB2312" w:hAnsi="仿宋" w:eastAsia="仿宋_GB2312" w:cs="仿宋_GB2312"/>
          <w:sz w:val="32"/>
          <w:szCs w:val="32"/>
          <w:lang w:eastAsia="zh-Hans" w:bidi="ar"/>
        </w:rPr>
        <w:t>北京市财政局根据资金分配方案，结合资金额度情况，分2次将资金下达，根据《北京市财政局关于提前下达各区202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年中央基本药物</w:t>
      </w:r>
      <w:r>
        <w:rPr>
          <w:rFonts w:hint="eastAsia" w:ascii="仿宋_GB2312" w:hAnsi="仿宋" w:eastAsia="仿宋_GB2312" w:cs="仿宋_GB2312"/>
          <w:sz w:val="32"/>
          <w:szCs w:val="32"/>
          <w:lang w:bidi="ar"/>
        </w:rPr>
        <w:t>制度</w:t>
      </w:r>
      <w:r>
        <w:rPr>
          <w:rFonts w:hint="eastAsia" w:ascii="仿宋_GB2312" w:hAnsi="仿宋" w:eastAsia="仿宋_GB2312" w:cs="仿宋_GB2312"/>
          <w:sz w:val="32"/>
          <w:szCs w:val="32"/>
          <w:lang w:eastAsia="zh-Hans" w:bidi="ar"/>
        </w:rPr>
        <w:t>补助</w:t>
      </w:r>
      <w:r>
        <w:rPr>
          <w:rFonts w:hint="eastAsia" w:ascii="仿宋_GB2312" w:hAnsi="仿宋" w:eastAsia="仿宋_GB2312" w:cs="仿宋_GB2312"/>
          <w:sz w:val="32"/>
          <w:szCs w:val="32"/>
          <w:lang w:bidi="ar"/>
        </w:rPr>
        <w:t>转移支付</w:t>
      </w:r>
      <w:r>
        <w:rPr>
          <w:rFonts w:hint="eastAsia" w:ascii="仿宋_GB2312" w:hAnsi="仿宋" w:eastAsia="仿宋_GB2312" w:cs="仿宋_GB2312"/>
          <w:sz w:val="32"/>
          <w:szCs w:val="32"/>
          <w:lang w:eastAsia="zh-Hans" w:bidi="ar"/>
        </w:rPr>
        <w:t>资金</w:t>
      </w:r>
      <w:r>
        <w:rPr>
          <w:rFonts w:hint="eastAsia" w:ascii="仿宋_GB2312" w:hAnsi="仿宋" w:eastAsia="仿宋_GB2312" w:cs="仿宋_GB2312"/>
          <w:sz w:val="32"/>
          <w:szCs w:val="32"/>
          <w:lang w:bidi="ar"/>
        </w:rPr>
        <w:t>（直达资金）</w:t>
      </w:r>
      <w:r>
        <w:rPr>
          <w:rFonts w:hint="eastAsia" w:ascii="仿宋_GB2312" w:hAnsi="仿宋" w:eastAsia="仿宋_GB2312" w:cs="仿宋_GB2312"/>
          <w:sz w:val="32"/>
          <w:szCs w:val="32"/>
          <w:lang w:eastAsia="zh-Hans" w:bidi="ar"/>
        </w:rPr>
        <w:t>的通知》（京财社指〔202</w:t>
      </w:r>
      <w:r>
        <w:rPr>
          <w:rFonts w:hint="eastAsia" w:ascii="仿宋_GB2312" w:hAnsi="仿宋" w:eastAsia="仿宋_GB2312" w:cs="仿宋_GB2312"/>
          <w:sz w:val="32"/>
          <w:szCs w:val="32"/>
          <w:lang w:bidi="ar"/>
        </w:rPr>
        <w:t>2</w:t>
      </w:r>
      <w:r>
        <w:rPr>
          <w:rFonts w:hint="eastAsia" w:ascii="仿宋_GB2312" w:hAnsi="仿宋" w:eastAsia="仿宋_GB2312" w:cs="仿宋_GB2312"/>
          <w:sz w:val="32"/>
          <w:szCs w:val="32"/>
          <w:lang w:eastAsia="zh-Hans" w:bidi="ar"/>
        </w:rPr>
        <w:t>〕2</w:t>
      </w:r>
      <w:r>
        <w:rPr>
          <w:rFonts w:hint="eastAsia" w:ascii="仿宋_GB2312" w:hAnsi="仿宋" w:eastAsia="仿宋_GB2312" w:cs="仿宋_GB2312"/>
          <w:sz w:val="32"/>
          <w:szCs w:val="32"/>
          <w:lang w:bidi="ar"/>
        </w:rPr>
        <w:t>859</w:t>
      </w:r>
      <w:r>
        <w:rPr>
          <w:rFonts w:hint="eastAsia" w:ascii="仿宋_GB2312" w:hAnsi="仿宋" w:eastAsia="仿宋_GB2312" w:cs="仿宋_GB2312"/>
          <w:sz w:val="32"/>
          <w:szCs w:val="32"/>
          <w:lang w:eastAsia="zh-Hans" w:bidi="ar"/>
        </w:rPr>
        <w:t>号）文件，提前下达202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年</w:t>
      </w:r>
      <w:r>
        <w:rPr>
          <w:rFonts w:hint="eastAsia" w:ascii="仿宋_GB2312" w:hAnsi="仿宋" w:eastAsia="仿宋_GB2312" w:cs="仿宋_GB2312"/>
          <w:sz w:val="32"/>
          <w:szCs w:val="32"/>
          <w:lang w:bidi="ar"/>
        </w:rPr>
        <w:t>北京市基本药物制度补助资金转移支付1</w:t>
      </w:r>
      <w:r>
        <w:rPr>
          <w:rFonts w:hint="eastAsia" w:ascii="仿宋_GB2312" w:hAnsi="仿宋" w:eastAsia="仿宋_GB2312" w:cs="仿宋_GB2312"/>
          <w:sz w:val="32"/>
          <w:szCs w:val="32"/>
          <w:lang w:eastAsia="zh-Hans" w:bidi="ar"/>
        </w:rPr>
        <w:t>,</w:t>
      </w:r>
      <w:r>
        <w:rPr>
          <w:rFonts w:hint="eastAsia" w:ascii="仿宋_GB2312" w:hAnsi="仿宋" w:eastAsia="仿宋_GB2312" w:cs="仿宋_GB2312"/>
          <w:sz w:val="32"/>
          <w:szCs w:val="32"/>
          <w:lang w:bidi="ar"/>
        </w:rPr>
        <w:t>567</w:t>
      </w:r>
      <w:r>
        <w:rPr>
          <w:rFonts w:hint="eastAsia" w:ascii="仿宋_GB2312" w:hAnsi="仿宋" w:eastAsia="仿宋_GB2312" w:cs="仿宋_GB2312"/>
          <w:sz w:val="32"/>
          <w:szCs w:val="32"/>
          <w:lang w:eastAsia="zh-Hans" w:bidi="ar"/>
        </w:rPr>
        <w:t>万元；</w:t>
      </w:r>
      <w:r>
        <w:rPr>
          <w:rFonts w:hint="eastAsia" w:ascii="仿宋_GB2312" w:hAnsi="仿宋" w:eastAsia="仿宋_GB2312" w:cs="仿宋_GB2312"/>
          <w:sz w:val="32"/>
          <w:szCs w:val="32"/>
          <w:lang w:bidi="ar"/>
        </w:rPr>
        <w:t>根据</w:t>
      </w:r>
      <w:r>
        <w:rPr>
          <w:rFonts w:hint="eastAsia" w:ascii="仿宋_GB2312" w:hAnsi="仿宋" w:eastAsia="仿宋_GB2312" w:cs="仿宋_GB2312"/>
          <w:sz w:val="32"/>
          <w:szCs w:val="32"/>
          <w:lang w:eastAsia="zh-Hans" w:bidi="ar"/>
        </w:rPr>
        <w:t>《北京市财政局关于下达202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年</w:t>
      </w:r>
      <w:r>
        <w:rPr>
          <w:rFonts w:hint="eastAsia" w:ascii="仿宋_GB2312" w:hAnsi="仿宋" w:eastAsia="仿宋_GB2312" w:cs="仿宋_GB2312"/>
          <w:sz w:val="32"/>
          <w:szCs w:val="32"/>
          <w:lang w:bidi="ar"/>
        </w:rPr>
        <w:t>中央转移支付</w:t>
      </w:r>
      <w:r>
        <w:rPr>
          <w:rFonts w:hint="eastAsia" w:ascii="仿宋_GB2312" w:hAnsi="仿宋" w:eastAsia="仿宋_GB2312" w:cs="仿宋_GB2312"/>
          <w:sz w:val="32"/>
          <w:szCs w:val="32"/>
          <w:lang w:eastAsia="zh-Hans" w:bidi="ar"/>
        </w:rPr>
        <w:t>基本药物制度补助资金</w:t>
      </w:r>
      <w:r>
        <w:rPr>
          <w:rFonts w:hint="eastAsia" w:ascii="仿宋_GB2312" w:hAnsi="仿宋" w:eastAsia="仿宋_GB2312" w:cs="仿宋_GB2312"/>
          <w:sz w:val="32"/>
          <w:szCs w:val="32"/>
          <w:lang w:bidi="ar"/>
        </w:rPr>
        <w:t>预算</w:t>
      </w:r>
      <w:r>
        <w:rPr>
          <w:rFonts w:hint="eastAsia" w:ascii="仿宋_GB2312" w:hAnsi="仿宋" w:eastAsia="仿宋_GB2312" w:cs="仿宋_GB2312"/>
          <w:sz w:val="32"/>
          <w:szCs w:val="32"/>
          <w:lang w:eastAsia="zh-Hans" w:bidi="ar"/>
        </w:rPr>
        <w:t>的通知》（京财社指〔202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〕1</w:t>
      </w:r>
      <w:r>
        <w:rPr>
          <w:rFonts w:hint="eastAsia" w:ascii="仿宋_GB2312" w:hAnsi="仿宋" w:eastAsia="仿宋_GB2312" w:cs="仿宋_GB2312"/>
          <w:sz w:val="32"/>
          <w:szCs w:val="32"/>
          <w:lang w:bidi="ar"/>
        </w:rPr>
        <w:t>211</w:t>
      </w:r>
      <w:r>
        <w:rPr>
          <w:rFonts w:hint="eastAsia" w:ascii="仿宋_GB2312" w:hAnsi="仿宋" w:eastAsia="仿宋_GB2312" w:cs="仿宋_GB2312"/>
          <w:sz w:val="32"/>
          <w:szCs w:val="32"/>
          <w:lang w:eastAsia="zh-Hans" w:bidi="ar"/>
        </w:rPr>
        <w:t>号）文件</w:t>
      </w:r>
      <w:r>
        <w:rPr>
          <w:rFonts w:hint="eastAsia" w:ascii="仿宋_GB2312" w:hAnsi="仿宋" w:eastAsia="仿宋_GB2312" w:cs="仿宋_GB2312"/>
          <w:sz w:val="32"/>
          <w:szCs w:val="32"/>
          <w:lang w:bidi="ar"/>
        </w:rPr>
        <w:t>，</w:t>
      </w:r>
      <w:r>
        <w:rPr>
          <w:rFonts w:hint="eastAsia" w:ascii="仿宋_GB2312" w:hAnsi="仿宋" w:eastAsia="仿宋_GB2312" w:cs="仿宋_GB2312"/>
          <w:sz w:val="32"/>
          <w:szCs w:val="32"/>
          <w:lang w:eastAsia="zh-Hans" w:bidi="ar"/>
        </w:rPr>
        <w:t>下达资金</w:t>
      </w:r>
      <w:r>
        <w:rPr>
          <w:rFonts w:hint="eastAsia" w:ascii="仿宋_GB2312" w:hAnsi="仿宋" w:eastAsia="仿宋_GB2312" w:cs="仿宋_GB2312"/>
          <w:sz w:val="32"/>
          <w:szCs w:val="32"/>
          <w:lang w:bidi="ar"/>
        </w:rPr>
        <w:t>222</w:t>
      </w:r>
      <w:r>
        <w:rPr>
          <w:rFonts w:hint="eastAsia" w:ascii="仿宋_GB2312" w:hAnsi="仿宋" w:eastAsia="仿宋_GB2312" w:cs="仿宋_GB2312"/>
          <w:sz w:val="32"/>
          <w:szCs w:val="32"/>
          <w:lang w:eastAsia="zh-Hans" w:bidi="ar"/>
        </w:rPr>
        <w:t>万元。</w:t>
      </w:r>
    </w:p>
    <w:p>
      <w:pPr>
        <w:pStyle w:val="7"/>
        <w:spacing w:line="580" w:lineRule="exact"/>
        <w:ind w:firstLine="640" w:firstLineChars="200"/>
        <w:rPr>
          <w:rFonts w:ascii="楷体_GB2312" w:hAnsi="楷体_GB2312" w:eastAsia="楷体_GB2312" w:cs="楷体_GB2312"/>
          <w:bCs/>
          <w:sz w:val="32"/>
          <w:szCs w:val="32"/>
          <w:lang w:bidi="ar"/>
        </w:rPr>
      </w:pPr>
      <w:r>
        <w:rPr>
          <w:rFonts w:hint="eastAsia" w:ascii="楷体_GB2312" w:hAnsi="楷体_GB2312" w:eastAsia="楷体_GB2312" w:cs="楷体_GB2312"/>
          <w:bCs/>
          <w:sz w:val="32"/>
          <w:szCs w:val="32"/>
          <w:lang w:bidi="ar"/>
        </w:rPr>
        <w:t>（二）2023年度转移支付资金分配情况</w:t>
      </w:r>
    </w:p>
    <w:p>
      <w:pPr>
        <w:pStyle w:val="7"/>
        <w:spacing w:line="580" w:lineRule="exact"/>
        <w:ind w:firstLine="640" w:firstLineChars="200"/>
        <w:jc w:val="both"/>
        <w:rPr>
          <w:rFonts w:ascii="仿宋_GB2312" w:hAnsi="仿宋" w:eastAsia="仿宋_GB2312" w:cs="仿宋_GB2312"/>
          <w:sz w:val="32"/>
          <w:szCs w:val="32"/>
          <w:lang w:eastAsia="zh-Hans" w:bidi="ar"/>
        </w:rPr>
      </w:pPr>
      <w:r>
        <w:rPr>
          <w:rFonts w:hint="eastAsia" w:ascii="仿宋_GB2312" w:hAnsi="仿宋" w:eastAsia="仿宋_GB2312" w:cs="仿宋_GB2312"/>
          <w:sz w:val="32"/>
          <w:szCs w:val="32"/>
          <w:lang w:eastAsia="zh-Hans" w:bidi="ar"/>
        </w:rPr>
        <w:t>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年</w:t>
      </w:r>
      <w:r>
        <w:rPr>
          <w:rFonts w:hint="eastAsia" w:ascii="仿宋_GB2312" w:hAnsi="仿宋" w:eastAsia="仿宋_GB2312" w:cs="仿宋_GB2312"/>
          <w:sz w:val="32"/>
          <w:szCs w:val="32"/>
          <w:lang w:bidi="ar"/>
        </w:rPr>
        <w:t>北京市基本药物制度补助资金转移支付</w:t>
      </w:r>
      <w:r>
        <w:rPr>
          <w:rFonts w:hint="eastAsia" w:ascii="仿宋_GB2312" w:hAnsi="仿宋" w:eastAsia="仿宋_GB2312" w:cs="仿宋_GB2312"/>
          <w:sz w:val="32"/>
          <w:szCs w:val="32"/>
          <w:lang w:eastAsia="zh-Hans" w:bidi="ar"/>
        </w:rPr>
        <w:t>项目涉及东城区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、西城区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、朝阳区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、海淀区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、丰台区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、石景山区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、门头沟区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、房山区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、通州区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、顺义区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、大兴区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、昌平区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、平谷区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、怀柔区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、密云区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、延庆区</w:t>
      </w:r>
      <w:r>
        <w:rPr>
          <w:rFonts w:hint="eastAsia" w:ascii="仿宋_GB2312" w:hAnsi="仿宋" w:eastAsia="仿宋_GB2312" w:cs="仿宋_GB2312"/>
          <w:sz w:val="32"/>
          <w:szCs w:val="32"/>
          <w:lang w:bidi="ar"/>
        </w:rPr>
        <w:t>卫生健康委员会等</w:t>
      </w:r>
      <w:r>
        <w:rPr>
          <w:rFonts w:hint="eastAsia" w:ascii="仿宋_GB2312" w:hAnsi="仿宋" w:eastAsia="仿宋_GB2312" w:cs="仿宋_GB2312"/>
          <w:sz w:val="32"/>
          <w:szCs w:val="32"/>
          <w:lang w:eastAsia="zh-Hans" w:bidi="ar"/>
        </w:rPr>
        <w:t>16个区</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color w:val="auto"/>
          <w:sz w:val="32"/>
          <w:szCs w:val="32"/>
          <w:lang w:eastAsia="zh-Hans" w:bidi="ar"/>
        </w:rPr>
        <w:t>，资金总额为</w:t>
      </w:r>
      <w:r>
        <w:rPr>
          <w:rFonts w:hint="eastAsia" w:ascii="仿宋_GB2312" w:hAnsi="仿宋" w:eastAsia="仿宋_GB2312" w:cs="仿宋_GB2312"/>
          <w:color w:val="auto"/>
          <w:sz w:val="32"/>
          <w:szCs w:val="32"/>
          <w:lang w:bidi="ar"/>
        </w:rPr>
        <w:t>2,913.62万元</w:t>
      </w:r>
      <w:r>
        <w:rPr>
          <w:rFonts w:hint="eastAsia" w:ascii="仿宋_GB2312" w:hAnsi="仿宋" w:eastAsia="仿宋_GB2312" w:cs="仿宋_GB2312"/>
          <w:color w:val="auto"/>
          <w:sz w:val="32"/>
          <w:szCs w:val="32"/>
          <w:lang w:eastAsia="zh-Hans" w:bidi="ar"/>
        </w:rPr>
        <w:t>，实际到位资金</w:t>
      </w:r>
      <w:r>
        <w:rPr>
          <w:rFonts w:hint="eastAsia" w:ascii="仿宋_GB2312" w:hAnsi="仿宋" w:eastAsia="仿宋_GB2312" w:cs="仿宋_GB2312"/>
          <w:color w:val="auto"/>
          <w:sz w:val="32"/>
          <w:szCs w:val="32"/>
          <w:lang w:bidi="ar"/>
        </w:rPr>
        <w:t>2,913.62万元</w:t>
      </w:r>
      <w:r>
        <w:rPr>
          <w:rFonts w:hint="eastAsia" w:ascii="仿宋_GB2312" w:hAnsi="仿宋" w:eastAsia="仿宋_GB2312" w:cs="仿宋_GB2312"/>
          <w:color w:val="auto"/>
          <w:sz w:val="32"/>
          <w:szCs w:val="32"/>
          <w:lang w:eastAsia="zh-Hans" w:bidi="ar"/>
        </w:rPr>
        <w:t>，其中中央财政资金</w:t>
      </w:r>
      <w:r>
        <w:rPr>
          <w:rFonts w:hint="eastAsia" w:ascii="仿宋_GB2312" w:hAnsi="仿宋" w:eastAsia="仿宋_GB2312" w:cs="仿宋_GB2312"/>
          <w:color w:val="auto"/>
          <w:sz w:val="32"/>
          <w:szCs w:val="32"/>
          <w:lang w:bidi="ar"/>
        </w:rPr>
        <w:t>1,789万元</w:t>
      </w:r>
      <w:r>
        <w:rPr>
          <w:rFonts w:hint="eastAsia" w:ascii="仿宋_GB2312" w:hAnsi="仿宋" w:eastAsia="仿宋_GB2312" w:cs="仿宋_GB2312"/>
          <w:color w:val="auto"/>
          <w:sz w:val="32"/>
          <w:szCs w:val="32"/>
          <w:lang w:eastAsia="zh-Hans" w:bidi="ar"/>
        </w:rPr>
        <w:t>、地方资金1124.62万元</w:t>
      </w:r>
      <w:r>
        <w:rPr>
          <w:rFonts w:hint="eastAsia" w:ascii="仿宋_GB2312" w:hAnsi="仿宋" w:eastAsia="仿宋_GB2312" w:cs="仿宋_GB2312"/>
          <w:sz w:val="32"/>
          <w:szCs w:val="32"/>
          <w:lang w:eastAsia="zh-Hans" w:bidi="ar"/>
        </w:rPr>
        <w:t>。</w:t>
      </w:r>
    </w:p>
    <w:p>
      <w:pPr>
        <w:pStyle w:val="7"/>
        <w:spacing w:line="580" w:lineRule="exact"/>
        <w:ind w:firstLine="640" w:firstLineChars="200"/>
        <w:rPr>
          <w:rFonts w:ascii="楷体_GB2312" w:hAnsi="楷体_GB2312" w:eastAsia="楷体_GB2312" w:cs="楷体_GB2312"/>
          <w:bCs/>
          <w:kern w:val="2"/>
          <w:sz w:val="32"/>
          <w:szCs w:val="32"/>
          <w:lang w:bidi="ar"/>
        </w:rPr>
      </w:pPr>
      <w:bookmarkStart w:id="2" w:name="_Toc2086486517_WPSOffice_Level2"/>
      <w:r>
        <w:rPr>
          <w:rFonts w:hint="eastAsia" w:ascii="楷体_GB2312" w:hAnsi="楷体_GB2312" w:eastAsia="楷体_GB2312" w:cs="楷体_GB2312"/>
          <w:bCs/>
          <w:kern w:val="2"/>
          <w:sz w:val="32"/>
          <w:szCs w:val="32"/>
          <w:lang w:bidi="ar"/>
        </w:rPr>
        <w:t>（三）转移支付资金项目任务情况</w:t>
      </w:r>
      <w:bookmarkEnd w:id="2"/>
    </w:p>
    <w:p>
      <w:pPr>
        <w:pStyle w:val="7"/>
        <w:spacing w:line="580" w:lineRule="exact"/>
        <w:ind w:firstLine="640" w:firstLineChars="200"/>
        <w:jc w:val="both"/>
        <w:rPr>
          <w:rFonts w:ascii="仿宋_GB2312" w:hAnsi="仿宋_GB2312" w:eastAsia="仿宋_GB2312" w:cs="仿宋_GB2312"/>
          <w:bCs/>
          <w:sz w:val="32"/>
          <w:szCs w:val="32"/>
          <w:lang w:eastAsia="zh-Hans"/>
        </w:rPr>
      </w:pPr>
      <w:r>
        <w:rPr>
          <w:rFonts w:hint="eastAsia" w:ascii="仿宋_GB2312" w:hAnsi="仿宋" w:eastAsia="仿宋_GB2312"/>
          <w:sz w:val="32"/>
          <w:szCs w:val="32"/>
          <w:lang w:eastAsia="zh-Hans" w:bidi="ar"/>
        </w:rPr>
        <w:t>根据</w:t>
      </w:r>
      <w:r>
        <w:rPr>
          <w:rFonts w:hint="eastAsia" w:ascii="仿宋_GB2312" w:hAnsi="仿宋" w:eastAsia="仿宋_GB2312" w:cs="仿宋_GB2312"/>
          <w:sz w:val="32"/>
          <w:szCs w:val="32"/>
          <w:lang w:eastAsia="zh-Hans" w:bidi="ar"/>
        </w:rPr>
        <w:t>《财政部</w:t>
      </w:r>
      <w:r>
        <w:rPr>
          <w:rFonts w:hint="eastAsia" w:ascii="仿宋_GB2312" w:hAnsi="仿宋" w:eastAsia="仿宋_GB2312" w:cs="仿宋_GB2312"/>
          <w:sz w:val="32"/>
          <w:szCs w:val="32"/>
          <w:lang w:bidi="ar"/>
        </w:rPr>
        <w:t xml:space="preserve"> </w:t>
      </w:r>
      <w:r>
        <w:rPr>
          <w:rFonts w:hint="eastAsia" w:ascii="仿宋_GB2312" w:hAnsi="仿宋" w:eastAsia="仿宋_GB2312" w:cs="仿宋_GB2312"/>
          <w:sz w:val="32"/>
          <w:szCs w:val="32"/>
          <w:lang w:eastAsia="zh-Hans" w:bidi="ar"/>
        </w:rPr>
        <w:t>国家</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关于提前下达202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年基本药物制度补助资金预算的通知》（财社〔202</w:t>
      </w:r>
      <w:r>
        <w:rPr>
          <w:rFonts w:hint="eastAsia" w:ascii="仿宋_GB2312" w:hAnsi="仿宋" w:eastAsia="仿宋_GB2312" w:cs="仿宋_GB2312"/>
          <w:sz w:val="32"/>
          <w:szCs w:val="32"/>
          <w:lang w:bidi="ar"/>
        </w:rPr>
        <w:t>2</w:t>
      </w:r>
      <w:r>
        <w:rPr>
          <w:rFonts w:hint="eastAsia" w:ascii="仿宋_GB2312" w:hAnsi="仿宋" w:eastAsia="仿宋_GB2312" w:cs="仿宋_GB2312"/>
          <w:sz w:val="32"/>
          <w:szCs w:val="32"/>
          <w:lang w:eastAsia="zh-Hans" w:bidi="ar"/>
        </w:rPr>
        <w:t>〕1</w:t>
      </w:r>
      <w:r>
        <w:rPr>
          <w:rFonts w:hint="eastAsia" w:ascii="仿宋_GB2312" w:hAnsi="仿宋" w:eastAsia="仿宋_GB2312" w:cs="仿宋_GB2312"/>
          <w:sz w:val="32"/>
          <w:szCs w:val="32"/>
          <w:lang w:bidi="ar"/>
        </w:rPr>
        <w:t>32</w:t>
      </w:r>
      <w:r>
        <w:rPr>
          <w:rFonts w:hint="eastAsia" w:ascii="仿宋_GB2312" w:hAnsi="仿宋" w:eastAsia="仿宋_GB2312" w:cs="仿宋_GB2312"/>
          <w:sz w:val="32"/>
          <w:szCs w:val="32"/>
          <w:lang w:eastAsia="zh-Hans" w:bidi="ar"/>
        </w:rPr>
        <w:t>号）</w:t>
      </w:r>
      <w:r>
        <w:rPr>
          <w:rFonts w:hint="eastAsia" w:ascii="仿宋_GB2312" w:hAnsi="仿宋" w:eastAsia="仿宋_GB2312"/>
          <w:sz w:val="32"/>
          <w:szCs w:val="32"/>
          <w:lang w:bidi="ar"/>
        </w:rPr>
        <w:t>、</w:t>
      </w:r>
      <w:r>
        <w:rPr>
          <w:rFonts w:hint="eastAsia" w:ascii="仿宋_GB2312" w:hAnsi="仿宋" w:eastAsia="仿宋_GB2312" w:cs="仿宋_GB2312"/>
          <w:sz w:val="32"/>
          <w:szCs w:val="32"/>
          <w:lang w:eastAsia="zh-Hans" w:bidi="ar"/>
        </w:rPr>
        <w:t>《财政部</w:t>
      </w:r>
      <w:r>
        <w:rPr>
          <w:rFonts w:hint="eastAsia" w:ascii="仿宋_GB2312" w:hAnsi="仿宋" w:eastAsia="仿宋_GB2312" w:cs="仿宋_GB2312"/>
          <w:sz w:val="32"/>
          <w:szCs w:val="32"/>
          <w:lang w:bidi="ar"/>
        </w:rPr>
        <w:t xml:space="preserve"> </w:t>
      </w:r>
      <w:r>
        <w:rPr>
          <w:rFonts w:hint="eastAsia" w:ascii="仿宋_GB2312" w:hAnsi="仿宋" w:eastAsia="仿宋_GB2312" w:cs="仿宋_GB2312"/>
          <w:sz w:val="32"/>
          <w:szCs w:val="32"/>
          <w:lang w:eastAsia="zh-Hans" w:bidi="ar"/>
        </w:rPr>
        <w:t>国家</w:t>
      </w:r>
      <w:r>
        <w:rPr>
          <w:rFonts w:hint="eastAsia" w:ascii="仿宋_GB2312" w:hAnsi="仿宋" w:eastAsia="仿宋_GB2312" w:cs="仿宋_GB2312"/>
          <w:sz w:val="32"/>
          <w:szCs w:val="32"/>
          <w:lang w:bidi="ar"/>
        </w:rPr>
        <w:t>卫生健康委员会</w:t>
      </w:r>
      <w:r>
        <w:rPr>
          <w:rFonts w:hint="eastAsia" w:ascii="仿宋_GB2312" w:hAnsi="仿宋" w:eastAsia="仿宋_GB2312" w:cs="仿宋_GB2312"/>
          <w:sz w:val="32"/>
          <w:szCs w:val="32"/>
          <w:lang w:eastAsia="zh-Hans" w:bidi="ar"/>
        </w:rPr>
        <w:t>关于下达202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年基本药物制度补助资金预算的通知》（财社〔202</w:t>
      </w:r>
      <w:r>
        <w:rPr>
          <w:rFonts w:hint="eastAsia" w:ascii="仿宋_GB2312" w:hAnsi="仿宋" w:eastAsia="仿宋_GB2312" w:cs="仿宋_GB2312"/>
          <w:sz w:val="32"/>
          <w:szCs w:val="32"/>
          <w:lang w:bidi="ar"/>
        </w:rPr>
        <w:t>3</w:t>
      </w:r>
      <w:r>
        <w:rPr>
          <w:rFonts w:hint="eastAsia" w:ascii="仿宋_GB2312" w:hAnsi="仿宋" w:eastAsia="仿宋_GB2312" w:cs="仿宋_GB2312"/>
          <w:sz w:val="32"/>
          <w:szCs w:val="32"/>
          <w:lang w:eastAsia="zh-Hans" w:bidi="ar"/>
        </w:rPr>
        <w:t>〕</w:t>
      </w:r>
      <w:r>
        <w:rPr>
          <w:rFonts w:hint="eastAsia" w:ascii="仿宋_GB2312" w:hAnsi="仿宋" w:eastAsia="仿宋_GB2312" w:cs="仿宋_GB2312"/>
          <w:sz w:val="32"/>
          <w:szCs w:val="32"/>
          <w:lang w:bidi="ar"/>
        </w:rPr>
        <w:t>35</w:t>
      </w:r>
      <w:r>
        <w:rPr>
          <w:rFonts w:hint="eastAsia" w:ascii="仿宋_GB2312" w:hAnsi="仿宋" w:eastAsia="仿宋_GB2312" w:cs="仿宋_GB2312"/>
          <w:sz w:val="32"/>
          <w:szCs w:val="32"/>
          <w:lang w:eastAsia="zh-Hans" w:bidi="ar"/>
        </w:rPr>
        <w:t>号）</w:t>
      </w:r>
      <w:r>
        <w:rPr>
          <w:rFonts w:hint="eastAsia" w:ascii="仿宋_GB2312" w:hAnsi="仿宋" w:eastAsia="仿宋_GB2312"/>
          <w:sz w:val="32"/>
          <w:szCs w:val="32"/>
          <w:lang w:eastAsia="zh-Hans" w:bidi="ar"/>
        </w:rPr>
        <w:t>文件</w:t>
      </w:r>
      <w:r>
        <w:rPr>
          <w:rFonts w:ascii="仿宋_GB2312" w:hAnsi="仿宋" w:eastAsia="仿宋_GB2312"/>
          <w:sz w:val="32"/>
          <w:szCs w:val="32"/>
          <w:lang w:eastAsia="zh-Hans" w:bidi="ar"/>
        </w:rPr>
        <w:t>，</w:t>
      </w:r>
      <w:r>
        <w:rPr>
          <w:rFonts w:hint="eastAsia" w:ascii="仿宋_GB2312" w:hAnsi="仿宋" w:eastAsia="仿宋_GB2312"/>
          <w:sz w:val="32"/>
          <w:szCs w:val="32"/>
          <w:lang w:eastAsia="zh-Hans" w:bidi="ar"/>
        </w:rPr>
        <w:t>财政部和国家</w:t>
      </w:r>
      <w:r>
        <w:rPr>
          <w:rFonts w:hint="eastAsia" w:ascii="仿宋_GB2312" w:hAnsi="仿宋" w:eastAsia="仿宋_GB2312"/>
          <w:sz w:val="32"/>
          <w:szCs w:val="32"/>
          <w:lang w:bidi="ar"/>
        </w:rPr>
        <w:t>卫生健康委员会共同下达基本药物制度补助资金</w:t>
      </w:r>
      <w:r>
        <w:rPr>
          <w:rFonts w:hint="eastAsia" w:ascii="仿宋_GB2312" w:hAnsi="仿宋" w:eastAsia="仿宋_GB2312"/>
          <w:sz w:val="32"/>
          <w:szCs w:val="32"/>
          <w:lang w:eastAsia="zh-Hans" w:bidi="ar"/>
        </w:rPr>
        <w:t>总体任务目标，北京市卫生健康委根据实际情况将年度绩效目标进行科学细化，本项目绩效目标共</w:t>
      </w:r>
      <w:r>
        <w:rPr>
          <w:rFonts w:hint="eastAsia" w:ascii="仿宋_GB2312" w:hAnsi="仿宋" w:eastAsia="仿宋_GB2312"/>
          <w:sz w:val="32"/>
          <w:szCs w:val="32"/>
          <w:lang w:bidi="ar"/>
        </w:rPr>
        <w:t>7</w:t>
      </w:r>
      <w:r>
        <w:rPr>
          <w:rFonts w:hint="eastAsia" w:ascii="仿宋_GB2312" w:hAnsi="仿宋" w:eastAsia="仿宋_GB2312"/>
          <w:sz w:val="32"/>
          <w:szCs w:val="32"/>
          <w:lang w:eastAsia="zh-Hans" w:bidi="ar"/>
        </w:rPr>
        <w:t>个，包括</w:t>
      </w:r>
      <w:r>
        <w:rPr>
          <w:rFonts w:hint="eastAsia" w:ascii="仿宋_GB2312" w:hAnsi="仿宋" w:eastAsia="仿宋_GB2312"/>
          <w:sz w:val="32"/>
          <w:szCs w:val="32"/>
          <w:lang w:bidi="ar"/>
        </w:rPr>
        <w:t>4</w:t>
      </w:r>
      <w:r>
        <w:rPr>
          <w:rFonts w:hint="eastAsia" w:ascii="仿宋_GB2312" w:hAnsi="仿宋" w:eastAsia="仿宋_GB2312"/>
          <w:sz w:val="32"/>
          <w:szCs w:val="32"/>
          <w:lang w:eastAsia="zh-Hans" w:bidi="ar"/>
        </w:rPr>
        <w:t>个产出指标，</w:t>
      </w:r>
      <w:r>
        <w:rPr>
          <w:rFonts w:hint="eastAsia" w:ascii="仿宋_GB2312" w:hAnsi="仿宋" w:eastAsia="仿宋_GB2312"/>
          <w:sz w:val="32"/>
          <w:szCs w:val="32"/>
          <w:lang w:bidi="ar"/>
        </w:rPr>
        <w:t>3</w:t>
      </w:r>
      <w:r>
        <w:rPr>
          <w:rFonts w:hint="eastAsia" w:ascii="仿宋_GB2312" w:hAnsi="仿宋" w:eastAsia="仿宋_GB2312"/>
          <w:sz w:val="32"/>
          <w:szCs w:val="32"/>
          <w:lang w:eastAsia="zh-Hans" w:bidi="ar"/>
        </w:rPr>
        <w:t>个效益指标</w:t>
      </w:r>
      <w:r>
        <w:rPr>
          <w:rFonts w:hint="eastAsia" w:ascii="仿宋_GB2312" w:hAnsi="仿宋" w:eastAsia="仿宋_GB2312"/>
          <w:sz w:val="32"/>
          <w:szCs w:val="32"/>
          <w:lang w:bidi="ar"/>
        </w:rPr>
        <w:t>。</w:t>
      </w:r>
    </w:p>
    <w:p>
      <w:pPr>
        <w:spacing w:line="580" w:lineRule="exact"/>
        <w:ind w:firstLine="616" w:firstLineChars="200"/>
        <w:outlineLvl w:val="1"/>
        <w:rPr>
          <w:rFonts w:ascii="黑体" w:hAnsi="黑体" w:eastAsia="黑体" w:cs="黑体"/>
          <w:sz w:val="32"/>
          <w:szCs w:val="32"/>
        </w:rPr>
      </w:pPr>
      <w:r>
        <w:rPr>
          <w:rFonts w:ascii="黑体" w:hAnsi="黑体" w:eastAsia="黑体" w:cs="黑体"/>
          <w:bCs/>
          <w:spacing w:val="-6"/>
          <w:sz w:val="32"/>
          <w:szCs w:val="32"/>
        </w:rPr>
        <w:t>二、</w:t>
      </w:r>
      <w:r>
        <w:rPr>
          <w:rFonts w:ascii="黑体" w:hAnsi="黑体" w:eastAsia="黑体" w:cs="黑体"/>
          <w:spacing w:val="-54"/>
          <w:sz w:val="32"/>
          <w:szCs w:val="32"/>
        </w:rPr>
        <w:t xml:space="preserve"> </w:t>
      </w:r>
      <w:r>
        <w:rPr>
          <w:rFonts w:ascii="黑体" w:hAnsi="黑体" w:eastAsia="黑体" w:cs="黑体"/>
          <w:bCs/>
          <w:spacing w:val="-6"/>
          <w:sz w:val="32"/>
          <w:szCs w:val="32"/>
        </w:rPr>
        <w:t>绩效情况分析</w:t>
      </w:r>
    </w:p>
    <w:p>
      <w:pPr>
        <w:pStyle w:val="7"/>
        <w:spacing w:line="580" w:lineRule="exact"/>
        <w:ind w:firstLine="640" w:firstLineChars="200"/>
        <w:rPr>
          <w:rFonts w:ascii="楷体" w:hAnsi="楷体" w:eastAsia="楷体" w:cs="楷体"/>
          <w:bCs/>
          <w:kern w:val="2"/>
          <w:sz w:val="32"/>
          <w:szCs w:val="32"/>
          <w:lang w:bidi="ar"/>
        </w:rPr>
      </w:pPr>
      <w:r>
        <w:rPr>
          <w:rFonts w:hint="eastAsia" w:ascii="楷体" w:hAnsi="楷体" w:eastAsia="楷体" w:cs="楷体"/>
          <w:bCs/>
          <w:kern w:val="2"/>
          <w:sz w:val="32"/>
          <w:szCs w:val="32"/>
          <w:lang w:bidi="ar"/>
        </w:rPr>
        <w:t>（一）资金投入情况分析</w:t>
      </w:r>
    </w:p>
    <w:p>
      <w:pPr>
        <w:pStyle w:val="5"/>
        <w:widowControl w:val="0"/>
        <w:kinsoku/>
        <w:autoSpaceDE/>
        <w:autoSpaceDN/>
        <w:adjustRightInd/>
        <w:snapToGrid/>
        <w:spacing w:after="0" w:line="580" w:lineRule="exact"/>
        <w:ind w:firstLine="640" w:firstLineChars="200"/>
        <w:jc w:val="both"/>
        <w:textAlignment w:val="auto"/>
        <w:rPr>
          <w:rFonts w:ascii="仿宋_GB2312" w:hAnsi="仿宋_GB2312" w:eastAsia="仿宋_GB2312" w:cs="仿宋_GB2312"/>
          <w:snapToGrid/>
          <w:kern w:val="2"/>
          <w:sz w:val="24"/>
          <w:szCs w:val="24"/>
        </w:rPr>
      </w:pPr>
      <w:r>
        <w:rPr>
          <w:rFonts w:hint="eastAsia" w:ascii="仿宋_GB2312" w:hAnsi="仿宋_GB2312" w:eastAsia="仿宋_GB2312" w:cs="仿宋_GB2312"/>
          <w:bCs/>
          <w:color w:val="auto"/>
          <w:sz w:val="32"/>
          <w:szCs w:val="32"/>
        </w:rPr>
        <w:t>2023年北京市基本药物制度补助资金转移支付</w:t>
      </w:r>
      <w:r>
        <w:rPr>
          <w:rFonts w:hint="eastAsia" w:ascii="仿宋_GB2312" w:hAnsi="仿宋" w:eastAsia="仿宋_GB2312" w:cs="仿宋_GB2312"/>
          <w:color w:val="auto"/>
          <w:sz w:val="32"/>
          <w:szCs w:val="32"/>
          <w:lang w:bidi="ar"/>
        </w:rPr>
        <w:t>预算金额共计2,913.62万元，截至2023年12月31日，实际支出金额2,883.85万元，资金执行率为98.98%。其中：中央财政资金预算金额为1,789万元，实际支出1,759.23万元，资金执行率为98.34%；地方资金预算1,124.62万元，实际支出1,124.62万元，资金执行率为100%。</w:t>
      </w:r>
    </w:p>
    <w:p>
      <w:pPr>
        <w:pStyle w:val="7"/>
        <w:spacing w:line="580" w:lineRule="exact"/>
        <w:ind w:firstLine="640" w:firstLineChars="200"/>
        <w:rPr>
          <w:rFonts w:ascii="楷体_GB2312" w:hAnsi="楷体_GB2312" w:eastAsia="楷体_GB2312" w:cs="楷体_GB2312"/>
          <w:bCs/>
          <w:spacing w:val="3"/>
          <w:position w:val="20"/>
          <w:sz w:val="32"/>
          <w:szCs w:val="32"/>
        </w:rPr>
      </w:pPr>
      <w:r>
        <w:rPr>
          <w:rFonts w:hint="eastAsia" w:ascii="楷体_GB2312" w:hAnsi="楷体_GB2312" w:eastAsia="楷体_GB2312" w:cs="楷体_GB2312"/>
          <w:bCs/>
          <w:kern w:val="2"/>
          <w:sz w:val="32"/>
          <w:szCs w:val="32"/>
          <w:lang w:bidi="ar"/>
        </w:rPr>
        <w:t>（二）资金管理情况分析</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楷体" w:eastAsia="仿宋_GB2312" w:cs="仿宋_GB2312"/>
          <w:bCs/>
          <w:sz w:val="32"/>
          <w:szCs w:val="32"/>
          <w:lang w:bidi="ar"/>
        </w:rPr>
        <w:t>1</w:t>
      </w:r>
      <w:r>
        <w:rPr>
          <w:rFonts w:hint="eastAsia" w:ascii="仿宋_GB2312" w:hAnsi="仿宋" w:eastAsia="仿宋_GB2312"/>
          <w:sz w:val="32"/>
          <w:szCs w:val="32"/>
          <w:lang w:bidi="ar"/>
        </w:rPr>
        <w:t>.资金分配科学性</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2023年北京市基本药物制度补助资金转移支付总资金为1,789万元，根据国家卫生健康委员会与其他八部门联合印发的《北京市卫生健康委员会等部门关于完善国家基本药物制度的实施意见的通知》（京卫药械〔2019〕6号），以及财政部、国家卫生健康委员会、国家医保局、国家中医药局、国家疾控局联合制定的《基本药物制度补助资金管理办法》，根据行政区划因素、人口因素和各区村卫生室数量分配转移支付资金到16个区。</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各区卫生健康委员会依据北京市卫生健康委员会与其他八部门联合印发的《北京市卫生健康委员会等部门关于完善国家基本药物制度的实施意见的通知》（京卫药械〔2019〕6号），以及财政部、国家卫生健康委员会、国家医保局、国家中医药局、国家疾控局联合制定的《基本药物制度补助资金管理办法》，参考各社区卫生服务机构国家基本药物采购占比、使用、管理及销售等情况分配转移支付资金，制定了基本药物制度补助资金的实施方案和资金分配方案。</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2023年基本药物制度补助资金项目在资金分配时能够充分考虑任务量、工作标准和人口等因素。结合各地、各有关单位工作实际，遵循填平补齐，避免重复的原则，较为科学合理。</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2.资金下达及时性</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北京市卫生健康委员会制定资金分配方案后，严格按照预算法及其实施条例，向北京市财政局提出申请，北京市财政局分别于2023年12月28日印发《北京市财政局关于提前下达各区2023年中央基本药物制度补助转移支付资金（直达资金）的通知》（京财社指〔2022〕2859号），2023年6月7日印发《北京市财政局关于下达2023年中央转移支付基本药物制度补助资金预算的通知》（京财社指〔2023〕1211号），符合《财政部 国家卫生健康委员会 国家医保局 国家中医药局 国家疾控局关于修订基本公共卫生服务等5项补助资金管理办法的通知》（财社〔2022〕31号）中《基本药物制度补助资金管理办法》要求，在收到资金的30个工作日内拨付资金到各区财政局，资金下达较为及时。</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各区卫生健康委员会在收到资金下达的通知后，根据各区的实际情况，结合北京市卫生健康委员会要求，制定本区的资金分配方案，由区财政局将项目资金及时下达给各个项目资金使用单位，项目整体资金下达较为及时。</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3.资金拨付合规性</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2023年北京市基本药物制度补助资金转移支付严格按照北京市国库集中支付制度有关规定支付资金，未出现违规将资金从国库转入财政专户或支付到预算单位实有资金账户等问题。</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4.资金使用规范性</w:t>
      </w:r>
    </w:p>
    <w:p>
      <w:pPr>
        <w:pStyle w:val="7"/>
        <w:spacing w:line="580" w:lineRule="exact"/>
        <w:ind w:firstLine="640" w:firstLineChars="200"/>
        <w:jc w:val="both"/>
        <w:rPr>
          <w:rFonts w:ascii="仿宋_GB2312" w:hAnsi="仿宋" w:eastAsia="仿宋_GB2312"/>
          <w:sz w:val="32"/>
          <w:szCs w:val="32"/>
          <w:lang w:bidi="ar"/>
        </w:rPr>
      </w:pPr>
      <w:r>
        <w:rPr>
          <w:rFonts w:ascii="仿宋_GB2312" w:hAnsi="仿宋" w:eastAsia="仿宋_GB2312"/>
          <w:sz w:val="32"/>
          <w:szCs w:val="32"/>
          <w:lang w:bidi="ar"/>
        </w:rPr>
        <w:t>202</w:t>
      </w:r>
      <w:r>
        <w:rPr>
          <w:rFonts w:hint="eastAsia" w:ascii="仿宋_GB2312" w:hAnsi="仿宋" w:eastAsia="仿宋_GB2312"/>
          <w:sz w:val="32"/>
          <w:szCs w:val="32"/>
          <w:lang w:bidi="ar"/>
        </w:rPr>
        <w:t>3</w:t>
      </w:r>
      <w:r>
        <w:rPr>
          <w:rFonts w:ascii="仿宋_GB2312" w:hAnsi="仿宋" w:eastAsia="仿宋_GB2312"/>
          <w:sz w:val="32"/>
          <w:szCs w:val="32"/>
          <w:lang w:bidi="ar"/>
        </w:rPr>
        <w:t>年</w:t>
      </w:r>
      <w:r>
        <w:rPr>
          <w:rFonts w:hint="eastAsia" w:ascii="仿宋_GB2312" w:hAnsi="仿宋" w:eastAsia="仿宋_GB2312"/>
          <w:sz w:val="32"/>
          <w:szCs w:val="32"/>
          <w:lang w:bidi="ar"/>
        </w:rPr>
        <w:t>北京市基本药物制度补助资金转移支付</w:t>
      </w:r>
      <w:r>
        <w:rPr>
          <w:rFonts w:ascii="仿宋_GB2312" w:hAnsi="仿宋" w:eastAsia="仿宋_GB2312"/>
          <w:sz w:val="32"/>
          <w:szCs w:val="32"/>
          <w:lang w:bidi="ar"/>
        </w:rPr>
        <w:t>根据</w:t>
      </w:r>
      <w:r>
        <w:rPr>
          <w:rFonts w:hint="eastAsia" w:ascii="仿宋_GB2312" w:hAnsi="仿宋" w:eastAsia="仿宋_GB2312"/>
          <w:sz w:val="32"/>
          <w:szCs w:val="32"/>
          <w:lang w:bidi="ar"/>
        </w:rPr>
        <w:t>《财政部 国家卫生健康委员会关于提前下达2023年基本药物制度补助资金预算的通知》（财社〔2022〕132号）、《财政部 国家卫生健康委员会关于下达2023年基本药物制度补助资金预算的通知》（财社〔2023〕35号）、《北京市财政局关于提前下达各区2023年中央基本药物制度补助转移支付资金（直达资金）的通知》（京财社指〔2022〕2859号）、《北京市财政局关于下达2023年中央转移支付基本药物制度补助资金预算的通知》（京财社指〔2023〕1211号）和财政部、国家卫生健康委员会、国家医保局、国家中医药局、国家疾控局联合制定的《基本药物制度补助资金管理办法》</w:t>
      </w:r>
      <w:r>
        <w:rPr>
          <w:rFonts w:ascii="仿宋_GB2312" w:hAnsi="仿宋" w:eastAsia="仿宋_GB2312"/>
          <w:sz w:val="32"/>
          <w:szCs w:val="32"/>
          <w:lang w:bidi="ar"/>
        </w:rPr>
        <w:t>要求，</w:t>
      </w:r>
      <w:r>
        <w:rPr>
          <w:rFonts w:hint="eastAsia" w:ascii="仿宋_GB2312" w:hAnsi="仿宋_GB2312" w:eastAsia="仿宋_GB2312" w:cs="仿宋_GB2312"/>
          <w:bCs/>
          <w:color w:val="auto"/>
          <w:sz w:val="32"/>
          <w:szCs w:val="32"/>
        </w:rPr>
        <w:t>能够做到专款专用，严格按照下达预算的科目和项目执行，未出现截留、挤占、挪用或擅自调整等问题，资金管理使用较为规范。</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5.资金执行准确性</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按照预算安排的金额执行，不存在执行数偏离预算数较多的问题。2023年北京市基本药物制度补助资金转移支付总体预算安排资金为2,913.62万元，实际到位资金为2,913.62万元，资金到位率为100%，截至2023年12月31日，实际支出金额为2,883.85万元，预算执行率为98.98%。</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6.预算绩效管理情况</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2023年北京市基本药物制度补助资金转移支付在细化下达预算时同步下达绩效目标，北京市卫生健康委员会组织各相关区按照《财政部关于开展2023年度中央对地方转移支付预算执行情况绩效自评工作的通知》（财监〔2024〕3号）要求，</w:t>
      </w:r>
      <w:r>
        <w:rPr>
          <w:rFonts w:hint="eastAsia" w:ascii="仿宋_GB2312" w:hAnsi="仿宋_GB2312" w:eastAsia="仿宋_GB2312" w:cs="仿宋_GB2312"/>
          <w:bCs/>
          <w:color w:val="auto"/>
          <w:sz w:val="32"/>
          <w:szCs w:val="32"/>
        </w:rPr>
        <w:t>对项目开展绩效自评工作。</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7.支出责任履行情况</w:t>
      </w:r>
    </w:p>
    <w:p>
      <w:pPr>
        <w:pStyle w:val="7"/>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北京市卫生健康委员会和北京市财政局针对2023年北京市基本药物制度补助资金转移支付能够做到严格按照财政事权和支出责任划分有关规定，足额安排资金履行本级支出责任。各区财政局、卫生健康委员会及各个资金使用单位能够严格按照财政事权和支出责任划分有关规定，足额安排资金履行本级支出责任。</w:t>
      </w:r>
    </w:p>
    <w:p>
      <w:pPr>
        <w:pStyle w:val="7"/>
        <w:spacing w:line="580" w:lineRule="exact"/>
        <w:ind w:firstLine="640" w:firstLineChars="200"/>
        <w:rPr>
          <w:rFonts w:ascii="楷体_GB2312" w:hAnsi="楷体_GB2312" w:eastAsia="楷体_GB2312" w:cs="楷体_GB2312"/>
          <w:bCs/>
          <w:kern w:val="2"/>
          <w:sz w:val="32"/>
          <w:szCs w:val="32"/>
          <w:lang w:bidi="ar"/>
        </w:rPr>
      </w:pPr>
      <w:r>
        <w:rPr>
          <w:rFonts w:hint="eastAsia" w:ascii="楷体_GB2312" w:hAnsi="楷体_GB2312" w:eastAsia="楷体_GB2312" w:cs="楷体_GB2312"/>
          <w:bCs/>
          <w:kern w:val="2"/>
          <w:sz w:val="32"/>
          <w:szCs w:val="32"/>
          <w:lang w:bidi="ar"/>
        </w:rPr>
        <w:t>（三）总体绩效目标完成情况分析</w:t>
      </w:r>
    </w:p>
    <w:p>
      <w:pPr>
        <w:pStyle w:val="7"/>
        <w:spacing w:line="58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2023年，北京市高度重视基本药物制度补助资金工作，北京市深化医药卫生体制改革小组认真落实习近平总书记重要指示精神和党中央、国务院决策部署，紧紧围绕国家医改重点工作任务，按照基层医疗卫生机构按要求实施基本药物制度，保障基本药物制度在村卫生室顺利实施，实现基层医疗卫生机构服务质量进一步提高、紧密型医共体等基层卫生综合改革在县域内稳步推进，从而使得对基本药物制度补助满意度进一步提高。绩效指标整体完成情况良好，任务目标基本落实到位。</w:t>
      </w:r>
    </w:p>
    <w:p>
      <w:pPr>
        <w:pStyle w:val="7"/>
        <w:spacing w:line="580" w:lineRule="exact"/>
        <w:ind w:firstLine="640" w:firstLineChars="200"/>
        <w:rPr>
          <w:rFonts w:ascii="楷体_GB2312" w:hAnsi="楷体_GB2312" w:eastAsia="楷体_GB2312" w:cs="楷体_GB2312"/>
          <w:bCs/>
          <w:kern w:val="2"/>
          <w:sz w:val="32"/>
          <w:szCs w:val="32"/>
          <w:lang w:bidi="ar"/>
        </w:rPr>
      </w:pPr>
      <w:r>
        <w:rPr>
          <w:rFonts w:hint="eastAsia" w:ascii="楷体_GB2312" w:hAnsi="楷体_GB2312" w:eastAsia="楷体_GB2312" w:cs="楷体_GB2312"/>
          <w:bCs/>
          <w:kern w:val="2"/>
          <w:sz w:val="32"/>
          <w:szCs w:val="32"/>
          <w:lang w:bidi="ar"/>
        </w:rPr>
        <w:t>（四）绩效指标完成情况分析</w:t>
      </w:r>
    </w:p>
    <w:p>
      <w:pPr>
        <w:spacing w:line="580" w:lineRule="exact"/>
        <w:ind w:firstLine="640" w:firstLineChars="200"/>
        <w:jc w:val="both"/>
        <w:rPr>
          <w:rFonts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1.产出指标完成情况分析</w:t>
      </w:r>
    </w:p>
    <w:p>
      <w:pPr>
        <w:pStyle w:val="2"/>
        <w:spacing w:line="580" w:lineRule="exact"/>
        <w:ind w:firstLine="640" w:firstLineChars="200"/>
        <w:rPr>
          <w:sz w:val="32"/>
          <w:szCs w:val="32"/>
        </w:rPr>
      </w:pPr>
      <w:r>
        <w:rPr>
          <w:rFonts w:hint="eastAsia" w:ascii="仿宋_GB2312" w:hAnsi="仿宋_GB2312" w:cs="仿宋_GB2312"/>
          <w:sz w:val="32"/>
          <w:szCs w:val="32"/>
        </w:rPr>
        <w:t>（1）数量指标</w:t>
      </w:r>
    </w:p>
    <w:p>
      <w:pPr>
        <w:spacing w:line="580" w:lineRule="exact"/>
        <w:ind w:firstLine="640" w:firstLineChars="200"/>
        <w:jc w:val="both"/>
        <w:rPr>
          <w:rFonts w:ascii="仿宋_GB2312" w:hAnsi="仿宋" w:eastAsia="仿宋_GB2312"/>
          <w:sz w:val="32"/>
          <w:szCs w:val="32"/>
          <w:lang w:eastAsia="zh-Hans" w:bidi="ar"/>
        </w:rPr>
      </w:pPr>
      <w:r>
        <w:rPr>
          <w:rFonts w:hint="eastAsia" w:ascii="仿宋_GB2312" w:hAnsi="仿宋" w:eastAsia="仿宋_GB2312"/>
          <w:sz w:val="32"/>
          <w:szCs w:val="32"/>
          <w:lang w:bidi="ar"/>
        </w:rPr>
        <w:t>2023年北京市基本药物制度补助资金转移支付</w:t>
      </w:r>
      <w:r>
        <w:rPr>
          <w:rFonts w:hint="eastAsia" w:ascii="仿宋_GB2312" w:hAnsi="仿宋" w:eastAsia="仿宋_GB2312" w:cs="仿宋_GB2312"/>
          <w:sz w:val="32"/>
          <w:szCs w:val="32"/>
          <w:lang w:eastAsia="zh-Hans" w:bidi="ar"/>
        </w:rPr>
        <w:t>项目</w:t>
      </w:r>
      <w:r>
        <w:rPr>
          <w:rFonts w:hint="eastAsia" w:ascii="仿宋_GB2312" w:hAnsi="仿宋" w:eastAsia="仿宋_GB2312"/>
          <w:sz w:val="32"/>
          <w:szCs w:val="32"/>
          <w:lang w:bidi="ar"/>
        </w:rPr>
        <w:t>设定的产出数量指标共2项，均已完成</w:t>
      </w:r>
      <w:r>
        <w:rPr>
          <w:rFonts w:ascii="仿宋_GB2312" w:hAnsi="仿宋" w:eastAsia="仿宋_GB2312"/>
          <w:sz w:val="32"/>
          <w:szCs w:val="32"/>
          <w:lang w:eastAsia="zh-Hans" w:bidi="ar"/>
        </w:rPr>
        <w:t>，</w:t>
      </w:r>
      <w:r>
        <w:rPr>
          <w:rFonts w:hint="eastAsia" w:ascii="仿宋_GB2312" w:hAnsi="仿宋" w:eastAsia="仿宋_GB2312"/>
          <w:sz w:val="32"/>
          <w:szCs w:val="32"/>
          <w:lang w:eastAsia="zh-Hans" w:bidi="ar"/>
        </w:rPr>
        <w:t>具体情况如下表</w:t>
      </w:r>
      <w:r>
        <w:rPr>
          <w:rFonts w:hint="eastAsia" w:ascii="仿宋_GB2312" w:hAnsi="仿宋" w:eastAsia="仿宋_GB2312"/>
          <w:sz w:val="32"/>
          <w:szCs w:val="32"/>
          <w:lang w:bidi="ar"/>
        </w:rPr>
        <w:t>1</w:t>
      </w:r>
      <w:r>
        <w:rPr>
          <w:rFonts w:ascii="仿宋_GB2312" w:hAnsi="仿宋" w:eastAsia="仿宋_GB2312"/>
          <w:sz w:val="32"/>
          <w:szCs w:val="32"/>
          <w:lang w:eastAsia="zh-Hans" w:bidi="ar"/>
        </w:rPr>
        <w:t>：</w:t>
      </w:r>
    </w:p>
    <w:p>
      <w:pPr>
        <w:pStyle w:val="5"/>
        <w:widowControl w:val="0"/>
        <w:kinsoku/>
        <w:autoSpaceDE/>
        <w:autoSpaceDN/>
        <w:adjustRightInd/>
        <w:snapToGrid/>
        <w:spacing w:after="0" w:line="240" w:lineRule="auto"/>
        <w:jc w:val="center"/>
        <w:textAlignment w:val="auto"/>
        <w:rPr>
          <w:lang w:eastAsia="zh-Hans"/>
        </w:rPr>
      </w:pPr>
      <w:r>
        <w:rPr>
          <w:rFonts w:hint="eastAsia" w:ascii="仿宋_GB2312" w:hAnsi="仿宋_GB2312" w:eastAsia="仿宋_GB2312" w:cs="仿宋_GB2312"/>
          <w:snapToGrid/>
          <w:kern w:val="2"/>
          <w:sz w:val="28"/>
          <w:szCs w:val="28"/>
        </w:rPr>
        <w:t>表1：产出数量指标完成情况表</w:t>
      </w:r>
    </w:p>
    <w:tbl>
      <w:tblPr>
        <w:tblStyle w:val="13"/>
        <w:tblW w:w="8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224"/>
        <w:gridCol w:w="2971"/>
        <w:gridCol w:w="166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blHeader/>
          <w:jc w:val="center"/>
        </w:trPr>
        <w:tc>
          <w:tcPr>
            <w:tcW w:w="83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ajorEastAsia" w:hAnsiTheme="majorEastAsia" w:eastAsiaTheme="majorEastAsia" w:cstheme="majorEastAsia"/>
                <w:b/>
                <w:sz w:val="20"/>
                <w:szCs w:val="20"/>
              </w:rPr>
            </w:pPr>
            <w:r>
              <w:rPr>
                <w:rFonts w:hint="eastAsia" w:asciiTheme="majorEastAsia" w:hAnsiTheme="majorEastAsia" w:eastAsiaTheme="majorEastAsia" w:cstheme="majorEastAsia"/>
                <w:b/>
                <w:sz w:val="20"/>
                <w:szCs w:val="20"/>
                <w:lang w:bidi="ar"/>
              </w:rPr>
              <w:t>序号</w:t>
            </w:r>
          </w:p>
        </w:tc>
        <w:tc>
          <w:tcPr>
            <w:tcW w:w="122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ajorEastAsia" w:hAnsiTheme="majorEastAsia" w:eastAsiaTheme="majorEastAsia" w:cstheme="majorEastAsia"/>
                <w:b/>
                <w:sz w:val="20"/>
                <w:szCs w:val="20"/>
              </w:rPr>
            </w:pPr>
            <w:r>
              <w:rPr>
                <w:rFonts w:hint="eastAsia" w:asciiTheme="majorEastAsia" w:hAnsiTheme="majorEastAsia" w:eastAsiaTheme="majorEastAsia" w:cstheme="majorEastAsia"/>
                <w:b/>
                <w:sz w:val="20"/>
                <w:szCs w:val="20"/>
                <w:lang w:bidi="ar"/>
              </w:rPr>
              <w:t>指标类型</w:t>
            </w:r>
          </w:p>
        </w:tc>
        <w:tc>
          <w:tcPr>
            <w:tcW w:w="297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ajorEastAsia" w:hAnsiTheme="majorEastAsia" w:eastAsiaTheme="majorEastAsia" w:cstheme="majorEastAsia"/>
                <w:b/>
                <w:sz w:val="20"/>
                <w:szCs w:val="20"/>
              </w:rPr>
            </w:pPr>
            <w:r>
              <w:rPr>
                <w:rFonts w:hint="eastAsia" w:asciiTheme="majorEastAsia" w:hAnsiTheme="majorEastAsia" w:eastAsiaTheme="majorEastAsia" w:cstheme="majorEastAsia"/>
                <w:b/>
                <w:sz w:val="20"/>
                <w:szCs w:val="20"/>
                <w:lang w:bidi="ar"/>
              </w:rPr>
              <w:t>三级指标</w:t>
            </w:r>
          </w:p>
        </w:tc>
        <w:tc>
          <w:tcPr>
            <w:tcW w:w="166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ajorEastAsia" w:hAnsiTheme="majorEastAsia" w:eastAsiaTheme="majorEastAsia" w:cstheme="majorEastAsia"/>
                <w:b/>
                <w:sz w:val="20"/>
                <w:szCs w:val="20"/>
              </w:rPr>
            </w:pPr>
            <w:r>
              <w:rPr>
                <w:rFonts w:hint="eastAsia" w:asciiTheme="majorEastAsia" w:hAnsiTheme="majorEastAsia" w:eastAsiaTheme="majorEastAsia" w:cstheme="majorEastAsia"/>
                <w:b/>
                <w:sz w:val="20"/>
                <w:szCs w:val="20"/>
                <w:lang w:bidi="ar"/>
              </w:rPr>
              <w:t>指标值</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ajorEastAsia" w:hAnsiTheme="majorEastAsia" w:eastAsiaTheme="majorEastAsia" w:cstheme="majorEastAsia"/>
                <w:b/>
                <w:sz w:val="20"/>
                <w:szCs w:val="20"/>
              </w:rPr>
            </w:pPr>
            <w:r>
              <w:rPr>
                <w:rFonts w:hint="eastAsia" w:asciiTheme="majorEastAsia" w:hAnsiTheme="majorEastAsia" w:eastAsiaTheme="majorEastAsia" w:cstheme="majorEastAsia"/>
                <w:b/>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sz w:val="20"/>
                <w:szCs w:val="20"/>
                <w:lang w:eastAsia="zh-Hans"/>
              </w:rPr>
            </w:pPr>
            <w:r>
              <w:rPr>
                <w:rFonts w:hint="eastAsia" w:asciiTheme="majorEastAsia" w:hAnsiTheme="majorEastAsia" w:eastAsiaTheme="majorEastAsia" w:cstheme="majorEastAsia"/>
                <w:sz w:val="20"/>
                <w:szCs w:val="20"/>
                <w:lang w:bidi="ar"/>
              </w:rPr>
              <w:t>1</w:t>
            </w:r>
          </w:p>
        </w:tc>
        <w:tc>
          <w:tcPr>
            <w:tcW w:w="1224"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lang w:eastAsia="zh-Hans" w:bidi="ar"/>
              </w:rPr>
              <w:t>数量</w:t>
            </w:r>
            <w:r>
              <w:rPr>
                <w:rFonts w:hint="eastAsia" w:asciiTheme="majorEastAsia" w:hAnsiTheme="majorEastAsia" w:eastAsiaTheme="majorEastAsia"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sz w:val="20"/>
                <w:szCs w:val="20"/>
                <w:lang w:bidi="ar"/>
              </w:rPr>
            </w:pPr>
            <w:r>
              <w:rPr>
                <w:rFonts w:hint="eastAsia" w:asciiTheme="majorEastAsia" w:hAnsiTheme="majorEastAsia" w:eastAsiaTheme="majorEastAsia" w:cstheme="majorEastAsia"/>
                <w:sz w:val="20"/>
                <w:szCs w:val="20"/>
                <w:lang w:bidi="ar"/>
              </w:rPr>
              <w:t>实施基本药物制度的政府办基层医疗卫生机构占比</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sz w:val="20"/>
                <w:szCs w:val="20"/>
                <w:lang w:bidi="ar"/>
              </w:rPr>
            </w:pPr>
            <w:r>
              <w:rPr>
                <w:rFonts w:hint="eastAsia" w:asciiTheme="majorEastAsia" w:hAnsiTheme="majorEastAsia" w:eastAsiaTheme="majorEastAsia" w:cstheme="majorEastAsia"/>
                <w:sz w:val="20"/>
                <w:szCs w:val="20"/>
                <w:lang w:bidi="ar"/>
              </w:rPr>
              <w:t>100%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sz w:val="20"/>
                <w:szCs w:val="20"/>
                <w:lang w:bidi="ar"/>
              </w:rPr>
            </w:pPr>
            <w:r>
              <w:rPr>
                <w:rFonts w:hint="eastAsia" w:asciiTheme="majorEastAsia" w:hAnsiTheme="majorEastAsia" w:eastAsiaTheme="majorEastAsia" w:cstheme="majorEastAsia"/>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sz w:val="20"/>
                <w:szCs w:val="20"/>
                <w:lang w:eastAsia="zh-Hans" w:bidi="ar"/>
              </w:rPr>
            </w:pPr>
            <w:r>
              <w:rPr>
                <w:rFonts w:hint="eastAsia" w:asciiTheme="majorEastAsia" w:hAnsiTheme="majorEastAsia" w:eastAsiaTheme="majorEastAsia" w:cstheme="majorEastAsia"/>
                <w:sz w:val="20"/>
                <w:szCs w:val="20"/>
                <w:lang w:bidi="ar"/>
              </w:rPr>
              <w:t>2</w:t>
            </w:r>
          </w:p>
        </w:tc>
        <w:tc>
          <w:tcPr>
            <w:tcW w:w="1224"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ajorEastAsia" w:hAnsiTheme="majorEastAsia" w:eastAsiaTheme="majorEastAsia" w:cstheme="majorEastAsia"/>
                <w:sz w:val="20"/>
                <w:szCs w:val="20"/>
                <w:lang w:eastAsia="zh-Hans" w:bidi="ar"/>
              </w:rPr>
            </w:pPr>
            <w:r>
              <w:rPr>
                <w:rFonts w:hint="eastAsia" w:asciiTheme="majorEastAsia" w:hAnsiTheme="majorEastAsia" w:eastAsiaTheme="majorEastAsia" w:cstheme="majorEastAsia"/>
                <w:sz w:val="20"/>
                <w:szCs w:val="20"/>
                <w:lang w:eastAsia="zh-Hans" w:bidi="ar"/>
              </w:rPr>
              <w:t>数量</w:t>
            </w:r>
            <w:r>
              <w:rPr>
                <w:rFonts w:hint="eastAsia" w:asciiTheme="majorEastAsia" w:hAnsiTheme="majorEastAsia" w:eastAsiaTheme="majorEastAsia"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sz w:val="20"/>
                <w:szCs w:val="20"/>
                <w:lang w:bidi="ar"/>
              </w:rPr>
            </w:pPr>
            <w:r>
              <w:rPr>
                <w:rFonts w:hint="eastAsia" w:asciiTheme="majorEastAsia" w:hAnsiTheme="majorEastAsia" w:eastAsiaTheme="majorEastAsia" w:cstheme="majorEastAsia"/>
                <w:sz w:val="20"/>
                <w:szCs w:val="20"/>
                <w:lang w:bidi="ar"/>
              </w:rPr>
              <w:t>实施基本药物制度的村卫生室占比</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sz w:val="20"/>
                <w:szCs w:val="20"/>
                <w:lang w:bidi="ar"/>
              </w:rPr>
            </w:pPr>
            <w:r>
              <w:rPr>
                <w:rFonts w:hint="eastAsia" w:asciiTheme="majorEastAsia" w:hAnsiTheme="majorEastAsia" w:eastAsiaTheme="majorEastAsia" w:cstheme="majorEastAsia"/>
                <w:sz w:val="20"/>
                <w:szCs w:val="20"/>
                <w:lang w:bidi="ar"/>
              </w:rPr>
              <w:t>100%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color w:val="auto"/>
                <w:sz w:val="20"/>
                <w:szCs w:val="20"/>
                <w:lang w:bidi="ar"/>
              </w:rPr>
            </w:pPr>
            <w:r>
              <w:rPr>
                <w:rFonts w:hint="eastAsia" w:asciiTheme="majorEastAsia" w:hAnsiTheme="majorEastAsia" w:eastAsiaTheme="majorEastAsia" w:cstheme="majorEastAsia"/>
                <w:color w:val="auto"/>
                <w:sz w:val="20"/>
                <w:szCs w:val="20"/>
                <w:lang w:bidi="ar"/>
              </w:rPr>
              <w:t>100%</w:t>
            </w:r>
          </w:p>
        </w:tc>
      </w:tr>
    </w:tbl>
    <w:p>
      <w:pPr>
        <w:pStyle w:val="2"/>
        <w:spacing w:line="580" w:lineRule="exact"/>
        <w:ind w:firstLine="640" w:firstLineChars="200"/>
        <w:rPr>
          <w:sz w:val="32"/>
          <w:szCs w:val="32"/>
        </w:rPr>
      </w:pPr>
      <w:r>
        <w:rPr>
          <w:rFonts w:hint="eastAsia" w:ascii="仿宋_GB2312" w:hAnsi="仿宋_GB2312" w:cs="仿宋_GB2312"/>
          <w:sz w:val="32"/>
          <w:szCs w:val="32"/>
        </w:rPr>
        <w:t>（2）质量指标</w:t>
      </w:r>
    </w:p>
    <w:p>
      <w:pPr>
        <w:spacing w:line="580" w:lineRule="exact"/>
        <w:ind w:firstLine="640" w:firstLineChars="200"/>
        <w:jc w:val="both"/>
        <w:rPr>
          <w:rFonts w:ascii="仿宋_GB2312" w:hAnsi="仿宋" w:eastAsia="仿宋_GB2312"/>
          <w:color w:val="auto"/>
          <w:sz w:val="32"/>
          <w:szCs w:val="32"/>
          <w:lang w:eastAsia="zh-Hans" w:bidi="ar"/>
        </w:rPr>
      </w:pPr>
      <w:r>
        <w:rPr>
          <w:rFonts w:hint="eastAsia" w:ascii="仿宋_GB2312" w:hAnsi="仿宋" w:eastAsia="仿宋_GB2312"/>
          <w:sz w:val="32"/>
          <w:szCs w:val="32"/>
          <w:lang w:bidi="ar"/>
        </w:rPr>
        <w:t>2023年北京市基本药物制度补助资金转移支付</w:t>
      </w:r>
      <w:r>
        <w:rPr>
          <w:rFonts w:hint="eastAsia" w:ascii="仿宋_GB2312" w:hAnsi="仿宋" w:eastAsia="仿宋_GB2312" w:cs="仿宋_GB2312"/>
          <w:sz w:val="32"/>
          <w:szCs w:val="32"/>
          <w:lang w:eastAsia="zh-Hans" w:bidi="ar"/>
        </w:rPr>
        <w:t>项目</w:t>
      </w:r>
      <w:r>
        <w:rPr>
          <w:rFonts w:hint="eastAsia" w:ascii="仿宋_GB2312" w:hAnsi="仿宋" w:eastAsia="仿宋_GB2312"/>
          <w:sz w:val="32"/>
          <w:szCs w:val="32"/>
          <w:lang w:bidi="ar"/>
        </w:rPr>
        <w:t>设定的产出质量指标共2项，</w:t>
      </w:r>
      <w:r>
        <w:rPr>
          <w:rFonts w:hint="eastAsia" w:ascii="仿宋_GB2312" w:hAnsi="仿宋" w:eastAsia="仿宋_GB2312"/>
          <w:color w:val="auto"/>
          <w:sz w:val="32"/>
          <w:szCs w:val="32"/>
          <w:lang w:bidi="ar"/>
        </w:rPr>
        <w:t>均已完成</w:t>
      </w:r>
      <w:r>
        <w:rPr>
          <w:rFonts w:ascii="仿宋_GB2312" w:hAnsi="仿宋" w:eastAsia="仿宋_GB2312"/>
          <w:color w:val="auto"/>
          <w:sz w:val="32"/>
          <w:szCs w:val="32"/>
          <w:lang w:eastAsia="zh-Hans" w:bidi="ar"/>
        </w:rPr>
        <w:t>，</w:t>
      </w:r>
      <w:r>
        <w:rPr>
          <w:rFonts w:hint="eastAsia" w:ascii="仿宋_GB2312" w:hAnsi="仿宋" w:eastAsia="仿宋_GB2312"/>
          <w:color w:val="auto"/>
          <w:sz w:val="32"/>
          <w:szCs w:val="32"/>
          <w:lang w:eastAsia="zh-Hans" w:bidi="ar"/>
        </w:rPr>
        <w:t>具体情况如下表</w:t>
      </w:r>
      <w:r>
        <w:rPr>
          <w:rFonts w:hint="eastAsia" w:ascii="仿宋_GB2312" w:hAnsi="仿宋" w:eastAsia="仿宋_GB2312"/>
          <w:color w:val="auto"/>
          <w:sz w:val="32"/>
          <w:szCs w:val="32"/>
          <w:lang w:bidi="ar"/>
        </w:rPr>
        <w:t>2</w:t>
      </w:r>
      <w:r>
        <w:rPr>
          <w:rFonts w:ascii="仿宋_GB2312" w:hAnsi="仿宋" w:eastAsia="仿宋_GB2312"/>
          <w:color w:val="auto"/>
          <w:sz w:val="32"/>
          <w:szCs w:val="32"/>
          <w:lang w:eastAsia="zh-Hans" w:bidi="ar"/>
        </w:rPr>
        <w:t>：</w:t>
      </w:r>
    </w:p>
    <w:p>
      <w:pPr>
        <w:pStyle w:val="5"/>
        <w:widowControl w:val="0"/>
        <w:kinsoku/>
        <w:autoSpaceDE/>
        <w:autoSpaceDN/>
        <w:adjustRightInd/>
        <w:snapToGrid/>
        <w:spacing w:after="0" w:line="240" w:lineRule="auto"/>
        <w:jc w:val="center"/>
        <w:textAlignment w:val="auto"/>
        <w:rPr>
          <w:rFonts w:ascii="仿宋_GB2312" w:hAnsi="仿宋_GB2312" w:eastAsia="仿宋_GB2312" w:cs="仿宋_GB2312"/>
          <w:snapToGrid/>
          <w:kern w:val="2"/>
          <w:sz w:val="28"/>
          <w:szCs w:val="28"/>
          <w:lang w:eastAsia="zh-Hans"/>
        </w:rPr>
      </w:pPr>
      <w:r>
        <w:rPr>
          <w:rFonts w:hint="eastAsia" w:ascii="仿宋_GB2312" w:hAnsi="仿宋_GB2312" w:eastAsia="仿宋_GB2312" w:cs="仿宋_GB2312"/>
          <w:snapToGrid/>
          <w:kern w:val="2"/>
          <w:sz w:val="28"/>
          <w:szCs w:val="28"/>
        </w:rPr>
        <w:t>表2：产出质量指标完成情况表</w:t>
      </w:r>
    </w:p>
    <w:tbl>
      <w:tblPr>
        <w:tblStyle w:val="13"/>
        <w:tblW w:w="8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098"/>
        <w:gridCol w:w="3097"/>
        <w:gridCol w:w="166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blHeader/>
          <w:jc w:val="center"/>
        </w:trPr>
        <w:tc>
          <w:tcPr>
            <w:tcW w:w="83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ajorEastAsia" w:hAnsiTheme="majorEastAsia" w:eastAsiaTheme="majorEastAsia" w:cstheme="majorEastAsia"/>
                <w:b/>
                <w:color w:val="auto"/>
                <w:sz w:val="20"/>
                <w:szCs w:val="20"/>
              </w:rPr>
            </w:pPr>
            <w:r>
              <w:rPr>
                <w:rFonts w:hint="eastAsia" w:asciiTheme="majorEastAsia" w:hAnsiTheme="majorEastAsia" w:eastAsiaTheme="majorEastAsia" w:cstheme="majorEastAsia"/>
                <w:b/>
                <w:color w:val="auto"/>
                <w:sz w:val="20"/>
                <w:szCs w:val="20"/>
                <w:lang w:bidi="ar"/>
              </w:rPr>
              <w:t>序号</w:t>
            </w:r>
          </w:p>
        </w:tc>
        <w:tc>
          <w:tcPr>
            <w:tcW w:w="1098"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ajorEastAsia" w:hAnsiTheme="majorEastAsia" w:eastAsiaTheme="majorEastAsia" w:cstheme="majorEastAsia"/>
                <w:b/>
                <w:color w:val="auto"/>
                <w:sz w:val="20"/>
                <w:szCs w:val="20"/>
              </w:rPr>
            </w:pPr>
            <w:r>
              <w:rPr>
                <w:rFonts w:hint="eastAsia" w:asciiTheme="majorEastAsia" w:hAnsiTheme="majorEastAsia" w:eastAsiaTheme="majorEastAsia" w:cstheme="majorEastAsia"/>
                <w:b/>
                <w:color w:val="auto"/>
                <w:sz w:val="20"/>
                <w:szCs w:val="20"/>
                <w:lang w:bidi="ar"/>
              </w:rPr>
              <w:t>指标类型</w:t>
            </w:r>
          </w:p>
        </w:tc>
        <w:tc>
          <w:tcPr>
            <w:tcW w:w="3097"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ajorEastAsia" w:hAnsiTheme="majorEastAsia" w:eastAsiaTheme="majorEastAsia" w:cstheme="majorEastAsia"/>
                <w:b/>
                <w:color w:val="auto"/>
                <w:sz w:val="20"/>
                <w:szCs w:val="20"/>
              </w:rPr>
            </w:pPr>
            <w:r>
              <w:rPr>
                <w:rFonts w:hint="eastAsia" w:asciiTheme="majorEastAsia" w:hAnsiTheme="majorEastAsia" w:eastAsiaTheme="majorEastAsia" w:cstheme="majorEastAsia"/>
                <w:b/>
                <w:color w:val="auto"/>
                <w:sz w:val="20"/>
                <w:szCs w:val="20"/>
                <w:lang w:bidi="ar"/>
              </w:rPr>
              <w:t>三级指标</w:t>
            </w:r>
          </w:p>
        </w:tc>
        <w:tc>
          <w:tcPr>
            <w:tcW w:w="166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ajorEastAsia" w:hAnsiTheme="majorEastAsia" w:eastAsiaTheme="majorEastAsia" w:cstheme="majorEastAsia"/>
                <w:b/>
                <w:color w:val="auto"/>
                <w:sz w:val="20"/>
                <w:szCs w:val="20"/>
              </w:rPr>
            </w:pPr>
            <w:r>
              <w:rPr>
                <w:rFonts w:hint="eastAsia" w:asciiTheme="majorEastAsia" w:hAnsiTheme="majorEastAsia" w:eastAsiaTheme="majorEastAsia" w:cstheme="majorEastAsia"/>
                <w:b/>
                <w:color w:val="auto"/>
                <w:sz w:val="20"/>
                <w:szCs w:val="20"/>
                <w:lang w:bidi="ar"/>
              </w:rPr>
              <w:t>指标值</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ajorEastAsia" w:hAnsiTheme="majorEastAsia" w:eastAsiaTheme="majorEastAsia" w:cstheme="majorEastAsia"/>
                <w:b/>
                <w:color w:val="auto"/>
                <w:sz w:val="20"/>
                <w:szCs w:val="20"/>
              </w:rPr>
            </w:pPr>
            <w:r>
              <w:rPr>
                <w:rFonts w:hint="eastAsia" w:asciiTheme="majorEastAsia" w:hAnsiTheme="majorEastAsia" w:eastAsiaTheme="majorEastAsia" w:cstheme="majorEastAsia"/>
                <w:b/>
                <w:color w:val="auto"/>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color w:val="auto"/>
                <w:sz w:val="20"/>
                <w:szCs w:val="20"/>
                <w:lang w:eastAsia="zh-Hans"/>
              </w:rPr>
            </w:pPr>
            <w:r>
              <w:rPr>
                <w:rFonts w:hint="eastAsia" w:asciiTheme="majorEastAsia" w:hAnsiTheme="majorEastAsia" w:eastAsiaTheme="majorEastAsia" w:cstheme="majorEastAsia"/>
                <w:color w:val="auto"/>
                <w:sz w:val="20"/>
                <w:szCs w:val="20"/>
                <w:lang w:bidi="ar"/>
              </w:rPr>
              <w:t>1</w:t>
            </w:r>
          </w:p>
        </w:tc>
        <w:tc>
          <w:tcPr>
            <w:tcW w:w="1098"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ajorEastAsia" w:hAnsiTheme="majorEastAsia" w:eastAsiaTheme="majorEastAsia" w:cstheme="majorEastAsia"/>
                <w:color w:val="auto"/>
                <w:sz w:val="20"/>
                <w:szCs w:val="20"/>
              </w:rPr>
            </w:pPr>
            <w:r>
              <w:rPr>
                <w:rFonts w:hint="eastAsia" w:asciiTheme="majorEastAsia" w:hAnsiTheme="majorEastAsia" w:eastAsiaTheme="majorEastAsia" w:cstheme="majorEastAsia"/>
                <w:color w:val="auto"/>
                <w:sz w:val="20"/>
                <w:szCs w:val="20"/>
                <w:lang w:bidi="ar"/>
              </w:rPr>
              <w:t>质量指标</w:t>
            </w:r>
          </w:p>
        </w:tc>
        <w:tc>
          <w:tcPr>
            <w:tcW w:w="309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color w:val="auto"/>
                <w:sz w:val="20"/>
                <w:szCs w:val="20"/>
                <w:lang w:bidi="ar"/>
              </w:rPr>
            </w:pPr>
            <w:r>
              <w:rPr>
                <w:rFonts w:hint="eastAsia" w:asciiTheme="majorEastAsia" w:hAnsiTheme="majorEastAsia" w:eastAsiaTheme="majorEastAsia" w:cstheme="majorEastAsia"/>
                <w:color w:val="auto"/>
                <w:sz w:val="20"/>
                <w:szCs w:val="20"/>
                <w:lang w:bidi="ar"/>
              </w:rPr>
              <w:t>基层医疗卫生机构“优质服务基层行”活动 开展评价机构数比例</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color w:val="auto"/>
                <w:sz w:val="20"/>
                <w:szCs w:val="20"/>
                <w:lang w:bidi="ar"/>
              </w:rPr>
            </w:pPr>
            <w:r>
              <w:rPr>
                <w:rFonts w:hint="eastAsia" w:asciiTheme="majorEastAsia" w:hAnsiTheme="majorEastAsia" w:eastAsiaTheme="majorEastAsia" w:cstheme="majorEastAsia"/>
                <w:color w:val="auto"/>
                <w:sz w:val="20"/>
                <w:szCs w:val="20"/>
                <w:lang w:bidi="ar"/>
              </w:rPr>
              <w:t>≥95%</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color w:val="auto"/>
                <w:sz w:val="20"/>
                <w:szCs w:val="20"/>
                <w:lang w:bidi="ar"/>
              </w:rPr>
            </w:pPr>
            <w:r>
              <w:rPr>
                <w:rFonts w:hint="eastAsia" w:asciiTheme="majorEastAsia" w:hAnsiTheme="majorEastAsia" w:eastAsiaTheme="majorEastAsia" w:cstheme="majorEastAsia"/>
                <w:color w:val="auto"/>
                <w:sz w:val="20"/>
                <w:szCs w:val="20"/>
                <w:lang w:bidi="ar"/>
              </w:rPr>
              <w:t>97.32%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sz w:val="20"/>
                <w:szCs w:val="20"/>
                <w:lang w:eastAsia="zh-Hans" w:bidi="ar"/>
              </w:rPr>
            </w:pPr>
            <w:r>
              <w:rPr>
                <w:rFonts w:hint="eastAsia" w:asciiTheme="majorEastAsia" w:hAnsiTheme="majorEastAsia" w:eastAsiaTheme="majorEastAsia" w:cstheme="majorEastAsia"/>
                <w:sz w:val="20"/>
                <w:szCs w:val="20"/>
                <w:lang w:bidi="ar"/>
              </w:rPr>
              <w:t>2</w:t>
            </w:r>
          </w:p>
        </w:tc>
        <w:tc>
          <w:tcPr>
            <w:tcW w:w="1098"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ajorEastAsia" w:hAnsiTheme="majorEastAsia" w:eastAsiaTheme="majorEastAsia" w:cstheme="majorEastAsia"/>
                <w:sz w:val="20"/>
                <w:szCs w:val="20"/>
                <w:lang w:bidi="ar"/>
              </w:rPr>
            </w:pPr>
            <w:r>
              <w:rPr>
                <w:rFonts w:hint="eastAsia" w:asciiTheme="majorEastAsia" w:hAnsiTheme="majorEastAsia" w:eastAsiaTheme="majorEastAsia" w:cstheme="majorEastAsia"/>
                <w:sz w:val="20"/>
                <w:szCs w:val="20"/>
                <w:lang w:bidi="ar"/>
              </w:rPr>
              <w:t>质量指标</w:t>
            </w:r>
          </w:p>
        </w:tc>
        <w:tc>
          <w:tcPr>
            <w:tcW w:w="3097"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sz w:val="20"/>
                <w:szCs w:val="20"/>
                <w:lang w:bidi="ar"/>
              </w:rPr>
            </w:pPr>
            <w:r>
              <w:rPr>
                <w:rFonts w:hint="eastAsia" w:asciiTheme="majorEastAsia" w:hAnsiTheme="majorEastAsia" w:eastAsiaTheme="majorEastAsia" w:cstheme="majorEastAsia"/>
                <w:sz w:val="20"/>
                <w:szCs w:val="20"/>
                <w:lang w:bidi="ar"/>
              </w:rPr>
              <w:t>基层医疗卫生机构“优质服务基层行”活动达到基本标准及以上的比例</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sz w:val="20"/>
                <w:szCs w:val="20"/>
                <w:lang w:bidi="ar"/>
              </w:rPr>
            </w:pPr>
            <w:r>
              <w:rPr>
                <w:rFonts w:hint="eastAsia" w:asciiTheme="majorEastAsia" w:hAnsiTheme="majorEastAsia" w:eastAsiaTheme="majorEastAsia" w:cstheme="majorEastAsia"/>
                <w:sz w:val="20"/>
                <w:szCs w:val="20"/>
                <w:lang w:bidi="ar"/>
              </w:rPr>
              <w:t>较上年度有提高</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ajorEastAsia" w:hAnsiTheme="majorEastAsia" w:eastAsiaTheme="majorEastAsia" w:cstheme="majorEastAsia"/>
                <w:sz w:val="20"/>
                <w:szCs w:val="20"/>
                <w:lang w:bidi="ar"/>
              </w:rPr>
            </w:pPr>
            <w:r>
              <w:rPr>
                <w:rFonts w:hint="eastAsia" w:asciiTheme="majorEastAsia" w:hAnsiTheme="majorEastAsia" w:eastAsiaTheme="majorEastAsia" w:cstheme="majorEastAsia"/>
                <w:sz w:val="20"/>
                <w:szCs w:val="20"/>
                <w:lang w:bidi="ar"/>
              </w:rPr>
              <w:t>较上年度有提高</w:t>
            </w:r>
          </w:p>
        </w:tc>
      </w:tr>
    </w:tbl>
    <w:p>
      <w:pPr>
        <w:spacing w:line="580" w:lineRule="exact"/>
        <w:ind w:firstLine="640" w:firstLineChars="200"/>
        <w:jc w:val="both"/>
        <w:rPr>
          <w:rFonts w:ascii="仿宋_GB2312" w:hAnsi="仿宋_GB2312" w:eastAsia="仿宋_GB2312" w:cs="仿宋_GB2312"/>
          <w:bCs/>
          <w:sz w:val="32"/>
          <w:szCs w:val="32"/>
          <w:highlight w:val="lightGray"/>
          <w:lang w:eastAsia="zh-Hans"/>
        </w:rPr>
      </w:pPr>
      <w:r>
        <w:rPr>
          <w:rFonts w:hint="eastAsia" w:ascii="仿宋_GB2312" w:hAnsi="仿宋_GB2312" w:eastAsia="仿宋_GB2312" w:cs="仿宋_GB2312"/>
          <w:bCs/>
          <w:sz w:val="32"/>
          <w:szCs w:val="32"/>
          <w:lang w:eastAsia="zh-Hans"/>
        </w:rPr>
        <w:t>2.效益指标完成情况分析</w:t>
      </w:r>
    </w:p>
    <w:p>
      <w:pPr>
        <w:pStyle w:val="5"/>
        <w:spacing w:after="0" w:line="580" w:lineRule="exact"/>
        <w:ind w:firstLine="640" w:firstLineChars="200"/>
        <w:rPr>
          <w:rFonts w:ascii="仿宋_GB2312" w:hAnsi="仿宋" w:eastAsia="仿宋_GB2312"/>
          <w:sz w:val="32"/>
          <w:szCs w:val="32"/>
          <w:lang w:bidi="ar"/>
        </w:rPr>
      </w:pPr>
      <w:r>
        <w:rPr>
          <w:rFonts w:hint="eastAsia" w:ascii="仿宋_GB2312" w:hAnsi="仿宋" w:eastAsia="仿宋_GB2312"/>
          <w:sz w:val="32"/>
          <w:szCs w:val="32"/>
          <w:lang w:bidi="ar"/>
        </w:rPr>
        <w:t>（1）经济效益指标</w:t>
      </w:r>
    </w:p>
    <w:p>
      <w:pPr>
        <w:pStyle w:val="5"/>
        <w:spacing w:after="0" w:line="580" w:lineRule="exact"/>
        <w:ind w:firstLine="640" w:firstLineChars="200"/>
        <w:rPr>
          <w:rFonts w:ascii="仿宋_GB2312" w:hAnsi="仿宋" w:eastAsia="仿宋_GB2312"/>
          <w:sz w:val="32"/>
          <w:szCs w:val="32"/>
          <w:lang w:eastAsia="zh-Hans" w:bidi="ar"/>
        </w:rPr>
      </w:pPr>
      <w:r>
        <w:rPr>
          <w:rFonts w:hint="eastAsia" w:ascii="仿宋_GB2312" w:hAnsi="仿宋" w:eastAsia="仿宋_GB2312"/>
          <w:sz w:val="32"/>
          <w:szCs w:val="32"/>
          <w:lang w:bidi="ar"/>
        </w:rPr>
        <w:t>2023年北京市基本药物制度补助资金转移支付设定的经济</w:t>
      </w:r>
      <w:r>
        <w:rPr>
          <w:rFonts w:hint="eastAsia" w:ascii="仿宋_GB2312" w:hAnsi="仿宋" w:eastAsia="仿宋_GB2312"/>
          <w:sz w:val="32"/>
          <w:szCs w:val="32"/>
          <w:lang w:eastAsia="zh-Hans" w:bidi="ar"/>
        </w:rPr>
        <w:t>效益</w:t>
      </w:r>
      <w:r>
        <w:rPr>
          <w:rFonts w:hint="eastAsia" w:ascii="仿宋_GB2312" w:hAnsi="仿宋" w:eastAsia="仿宋_GB2312"/>
          <w:sz w:val="32"/>
          <w:szCs w:val="32"/>
          <w:lang w:bidi="ar"/>
        </w:rPr>
        <w:t>指标共1项，指标均已完成</w:t>
      </w:r>
      <w:r>
        <w:rPr>
          <w:rFonts w:hint="eastAsia" w:ascii="仿宋_GB2312" w:hAnsi="仿宋" w:eastAsia="仿宋_GB2312"/>
          <w:sz w:val="32"/>
          <w:szCs w:val="32"/>
          <w:lang w:eastAsia="zh-Hans" w:bidi="ar"/>
        </w:rPr>
        <w:t>，具体情况如下表</w:t>
      </w:r>
      <w:r>
        <w:rPr>
          <w:rFonts w:hint="eastAsia" w:ascii="仿宋_GB2312" w:hAnsi="仿宋" w:eastAsia="仿宋_GB2312"/>
          <w:sz w:val="32"/>
          <w:szCs w:val="32"/>
          <w:lang w:bidi="ar"/>
        </w:rPr>
        <w:t>3</w:t>
      </w:r>
      <w:r>
        <w:rPr>
          <w:rFonts w:hint="eastAsia" w:ascii="仿宋_GB2312" w:hAnsi="仿宋" w:eastAsia="仿宋_GB2312"/>
          <w:sz w:val="32"/>
          <w:szCs w:val="32"/>
          <w:lang w:eastAsia="zh-Hans" w:bidi="ar"/>
        </w:rPr>
        <w:t>：</w:t>
      </w:r>
    </w:p>
    <w:p>
      <w:pPr>
        <w:pStyle w:val="5"/>
        <w:widowControl w:val="0"/>
        <w:kinsoku/>
        <w:autoSpaceDE/>
        <w:autoSpaceDN/>
        <w:adjustRightInd/>
        <w:snapToGrid/>
        <w:spacing w:after="0" w:line="240" w:lineRule="auto"/>
        <w:jc w:val="center"/>
        <w:textAlignment w:val="auto"/>
        <w:rPr>
          <w:rFonts w:ascii="仿宋_GB2312" w:hAnsi="仿宋" w:eastAsia="仿宋_GB2312"/>
          <w:sz w:val="28"/>
          <w:szCs w:val="28"/>
          <w:lang w:eastAsia="zh-Hans" w:bidi="ar"/>
        </w:rPr>
      </w:pPr>
      <w:r>
        <w:rPr>
          <w:rFonts w:hint="eastAsia" w:ascii="仿宋_GB2312" w:hAnsi="仿宋_GB2312" w:eastAsia="仿宋_GB2312" w:cs="仿宋_GB2312"/>
          <w:snapToGrid/>
          <w:kern w:val="2"/>
          <w:sz w:val="28"/>
          <w:szCs w:val="28"/>
        </w:rPr>
        <w:t>表3：经济效益指标完成情况表</w:t>
      </w:r>
    </w:p>
    <w:tbl>
      <w:tblPr>
        <w:tblStyle w:val="13"/>
        <w:tblW w:w="8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1444"/>
        <w:gridCol w:w="2513"/>
        <w:gridCol w:w="1984"/>
        <w:gridCol w:w="1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25"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lang w:bidi="ar"/>
              </w:rPr>
            </w:pPr>
            <w:r>
              <w:rPr>
                <w:rFonts w:hint="eastAsia" w:asciiTheme="minorEastAsia" w:hAnsiTheme="minorEastAsia" w:eastAsiaTheme="minorEastAsia" w:cstheme="minorEastAsia"/>
                <w:b/>
                <w:sz w:val="20"/>
                <w:szCs w:val="20"/>
                <w:lang w:bidi="ar"/>
              </w:rPr>
              <w:t>序号</w:t>
            </w:r>
          </w:p>
        </w:tc>
        <w:tc>
          <w:tcPr>
            <w:tcW w:w="144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lang w:bidi="ar"/>
              </w:rPr>
            </w:pPr>
            <w:r>
              <w:rPr>
                <w:rFonts w:hint="eastAsia" w:asciiTheme="minorEastAsia" w:hAnsiTheme="minorEastAsia" w:eastAsiaTheme="minorEastAsia" w:cstheme="minorEastAsia"/>
                <w:b/>
                <w:sz w:val="20"/>
                <w:szCs w:val="20"/>
                <w:lang w:bidi="ar"/>
              </w:rPr>
              <w:t>指标类型</w:t>
            </w:r>
          </w:p>
        </w:tc>
        <w:tc>
          <w:tcPr>
            <w:tcW w:w="2513"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lang w:bidi="ar"/>
              </w:rPr>
            </w:pPr>
            <w:r>
              <w:rPr>
                <w:rFonts w:hint="eastAsia" w:asciiTheme="minorEastAsia" w:hAnsiTheme="minorEastAsia" w:eastAsiaTheme="minorEastAsia" w:cstheme="minorEastAsia"/>
                <w:b/>
                <w:sz w:val="20"/>
                <w:szCs w:val="20"/>
                <w:lang w:bidi="ar"/>
              </w:rPr>
              <w:t>三级指标</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lang w:bidi="ar"/>
              </w:rPr>
            </w:pPr>
            <w:r>
              <w:rPr>
                <w:rFonts w:hint="eastAsia" w:asciiTheme="minorEastAsia" w:hAnsiTheme="minorEastAsia" w:eastAsiaTheme="minorEastAsia" w:cstheme="minorEastAsia"/>
                <w:b/>
                <w:sz w:val="20"/>
                <w:szCs w:val="20"/>
                <w:lang w:bidi="ar"/>
              </w:rPr>
              <w:t>指标值</w:t>
            </w:r>
          </w:p>
        </w:tc>
        <w:tc>
          <w:tcPr>
            <w:tcW w:w="1633"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lang w:bidi="ar"/>
              </w:rPr>
            </w:pPr>
            <w:r>
              <w:rPr>
                <w:rFonts w:hint="eastAsia" w:asciiTheme="minorEastAsia" w:hAnsiTheme="minorEastAsia" w:eastAsiaTheme="minorEastAsia" w:cstheme="minorEastAsia"/>
                <w:b/>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0"/>
                <w:szCs w:val="20"/>
                <w:lang w:bidi="ar"/>
              </w:rPr>
            </w:pPr>
            <w:r>
              <w:rPr>
                <w:rFonts w:hint="eastAsia" w:asciiTheme="minorEastAsia" w:hAnsiTheme="minorEastAsia" w:eastAsiaTheme="minorEastAsia" w:cstheme="minorEastAsia"/>
                <w:sz w:val="20"/>
                <w:szCs w:val="20"/>
                <w:lang w:bidi="ar"/>
              </w:rPr>
              <w:t>1</w:t>
            </w:r>
          </w:p>
        </w:tc>
        <w:tc>
          <w:tcPr>
            <w:tcW w:w="144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0"/>
                <w:szCs w:val="20"/>
                <w:lang w:bidi="ar"/>
              </w:rPr>
            </w:pPr>
            <w:r>
              <w:rPr>
                <w:rFonts w:hint="eastAsia" w:asciiTheme="minorEastAsia" w:hAnsiTheme="minorEastAsia" w:eastAsiaTheme="minorEastAsia" w:cstheme="minorEastAsia"/>
                <w:sz w:val="20"/>
                <w:szCs w:val="20"/>
                <w:lang w:bidi="ar"/>
              </w:rPr>
              <w:t>社会效益</w:t>
            </w:r>
            <w:r>
              <w:rPr>
                <w:rFonts w:hint="eastAsia" w:asciiTheme="minorEastAsia" w:hAnsiTheme="minorEastAsia" w:eastAsiaTheme="minorEastAsia" w:cstheme="minorEastAsia"/>
                <w:sz w:val="20"/>
                <w:szCs w:val="20"/>
                <w:lang w:eastAsia="zh-Hans" w:bidi="ar"/>
              </w:rPr>
              <w:t>指标</w:t>
            </w:r>
          </w:p>
        </w:tc>
        <w:tc>
          <w:tcPr>
            <w:tcW w:w="251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0"/>
                <w:szCs w:val="20"/>
                <w:lang w:bidi="ar"/>
              </w:rPr>
            </w:pPr>
            <w:r>
              <w:rPr>
                <w:rFonts w:hint="eastAsia" w:asciiTheme="minorEastAsia" w:hAnsiTheme="minorEastAsia" w:eastAsiaTheme="minorEastAsia" w:cstheme="minorEastAsia"/>
                <w:sz w:val="20"/>
                <w:szCs w:val="20"/>
                <w:lang w:bidi="ar"/>
              </w:rPr>
              <w:t>乡村医生收入</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0"/>
                <w:szCs w:val="20"/>
                <w:lang w:eastAsia="zh-Hans" w:bidi="ar"/>
              </w:rPr>
            </w:pPr>
            <w:r>
              <w:rPr>
                <w:rFonts w:hint="eastAsia" w:asciiTheme="minorEastAsia" w:hAnsiTheme="minorEastAsia" w:eastAsiaTheme="minorEastAsia" w:cstheme="minorEastAsia"/>
                <w:sz w:val="20"/>
                <w:szCs w:val="20"/>
                <w:lang w:bidi="ar"/>
              </w:rPr>
              <w:t>保持稳定</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0"/>
                <w:szCs w:val="20"/>
                <w:lang w:eastAsia="zh-Hans" w:bidi="ar"/>
              </w:rPr>
            </w:pPr>
            <w:r>
              <w:rPr>
                <w:rFonts w:hint="eastAsia" w:asciiTheme="minorEastAsia" w:hAnsiTheme="minorEastAsia" w:eastAsiaTheme="minorEastAsia" w:cstheme="minorEastAsia"/>
                <w:sz w:val="20"/>
                <w:szCs w:val="20"/>
                <w:lang w:bidi="ar"/>
              </w:rPr>
              <w:t>保持稳定</w:t>
            </w:r>
          </w:p>
        </w:tc>
      </w:tr>
    </w:tbl>
    <w:p>
      <w:pPr>
        <w:pStyle w:val="5"/>
        <w:spacing w:after="0" w:line="580" w:lineRule="exact"/>
        <w:ind w:firstLine="640" w:firstLineChars="200"/>
        <w:rPr>
          <w:rFonts w:ascii="仿宋_GB2312" w:hAnsi="仿宋" w:eastAsia="仿宋_GB2312"/>
          <w:sz w:val="32"/>
          <w:szCs w:val="32"/>
          <w:lang w:bidi="ar"/>
        </w:rPr>
      </w:pPr>
      <w:r>
        <w:rPr>
          <w:rFonts w:hint="eastAsia" w:ascii="仿宋_GB2312" w:hAnsi="仿宋" w:eastAsia="仿宋_GB2312"/>
          <w:sz w:val="32"/>
          <w:szCs w:val="32"/>
          <w:lang w:bidi="ar"/>
        </w:rPr>
        <w:t>（2）可持续影响效益指标</w:t>
      </w:r>
    </w:p>
    <w:p>
      <w:pPr>
        <w:pStyle w:val="5"/>
        <w:spacing w:after="0" w:line="580" w:lineRule="exact"/>
        <w:ind w:firstLine="640" w:firstLineChars="200"/>
        <w:rPr>
          <w:rFonts w:ascii="仿宋_GB2312" w:hAnsi="仿宋" w:eastAsia="仿宋_GB2312"/>
          <w:sz w:val="32"/>
          <w:szCs w:val="32"/>
          <w:lang w:eastAsia="zh-Hans" w:bidi="ar"/>
        </w:rPr>
      </w:pPr>
      <w:r>
        <w:rPr>
          <w:rFonts w:hint="eastAsia" w:ascii="仿宋_GB2312" w:hAnsi="仿宋" w:eastAsia="仿宋_GB2312"/>
          <w:sz w:val="32"/>
          <w:szCs w:val="32"/>
          <w:lang w:bidi="ar"/>
        </w:rPr>
        <w:t>2023年北京市基本药物制度补助资金转移支付设定的可持续影响</w:t>
      </w:r>
      <w:r>
        <w:rPr>
          <w:rFonts w:hint="eastAsia" w:ascii="仿宋_GB2312" w:hAnsi="仿宋" w:eastAsia="仿宋_GB2312"/>
          <w:sz w:val="32"/>
          <w:szCs w:val="32"/>
          <w:lang w:eastAsia="zh-Hans" w:bidi="ar"/>
        </w:rPr>
        <w:t>效益</w:t>
      </w:r>
      <w:r>
        <w:rPr>
          <w:rFonts w:hint="eastAsia" w:ascii="仿宋_GB2312" w:hAnsi="仿宋" w:eastAsia="仿宋_GB2312"/>
          <w:sz w:val="32"/>
          <w:szCs w:val="32"/>
          <w:lang w:bidi="ar"/>
        </w:rPr>
        <w:t>指标共2项，均已完成，</w:t>
      </w:r>
      <w:r>
        <w:rPr>
          <w:rFonts w:hint="eastAsia" w:ascii="仿宋_GB2312" w:hAnsi="仿宋" w:eastAsia="仿宋_GB2312"/>
          <w:sz w:val="32"/>
          <w:szCs w:val="32"/>
          <w:lang w:eastAsia="zh-Hans" w:bidi="ar"/>
        </w:rPr>
        <w:t>具体情况如下表</w:t>
      </w:r>
      <w:r>
        <w:rPr>
          <w:rFonts w:hint="eastAsia" w:ascii="仿宋_GB2312" w:hAnsi="仿宋" w:eastAsia="仿宋_GB2312"/>
          <w:sz w:val="32"/>
          <w:szCs w:val="32"/>
          <w:lang w:bidi="ar"/>
        </w:rPr>
        <w:t>4</w:t>
      </w:r>
      <w:r>
        <w:rPr>
          <w:rFonts w:hint="eastAsia" w:ascii="仿宋_GB2312" w:hAnsi="仿宋" w:eastAsia="仿宋_GB2312"/>
          <w:sz w:val="32"/>
          <w:szCs w:val="32"/>
          <w:lang w:eastAsia="zh-Hans" w:bidi="ar"/>
        </w:rPr>
        <w:t>：</w:t>
      </w:r>
    </w:p>
    <w:p>
      <w:pPr>
        <w:pStyle w:val="5"/>
        <w:widowControl w:val="0"/>
        <w:kinsoku/>
        <w:autoSpaceDE/>
        <w:autoSpaceDN/>
        <w:adjustRightInd/>
        <w:snapToGrid/>
        <w:spacing w:after="0" w:line="240" w:lineRule="auto"/>
        <w:jc w:val="center"/>
        <w:textAlignment w:val="auto"/>
        <w:rPr>
          <w:rFonts w:ascii="仿宋_GB2312" w:hAnsi="仿宋" w:eastAsia="仿宋_GB2312"/>
          <w:sz w:val="32"/>
          <w:szCs w:val="32"/>
          <w:lang w:eastAsia="zh-Hans" w:bidi="ar"/>
        </w:rPr>
      </w:pPr>
      <w:r>
        <w:rPr>
          <w:rFonts w:hint="eastAsia" w:ascii="仿宋_GB2312" w:hAnsi="仿宋_GB2312" w:eastAsia="仿宋_GB2312" w:cs="仿宋_GB2312"/>
          <w:snapToGrid/>
          <w:kern w:val="2"/>
          <w:sz w:val="28"/>
          <w:szCs w:val="28"/>
        </w:rPr>
        <w:t>表4：可持续影响效益指标完成情况表</w:t>
      </w:r>
    </w:p>
    <w:tbl>
      <w:tblPr>
        <w:tblStyle w:val="13"/>
        <w:tblW w:w="84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1301"/>
        <w:gridCol w:w="3226"/>
        <w:gridCol w:w="1336"/>
        <w:gridCol w:w="1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88"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bidi="ar"/>
              </w:rPr>
              <w:t>序号</w:t>
            </w:r>
          </w:p>
        </w:tc>
        <w:tc>
          <w:tcPr>
            <w:tcW w:w="130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bidi="ar"/>
              </w:rPr>
              <w:t>指标类型</w:t>
            </w:r>
          </w:p>
        </w:tc>
        <w:tc>
          <w:tcPr>
            <w:tcW w:w="3226"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bidi="ar"/>
              </w:rPr>
              <w:t>三级指标</w:t>
            </w:r>
          </w:p>
        </w:tc>
        <w:tc>
          <w:tcPr>
            <w:tcW w:w="1336"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bidi="ar"/>
              </w:rPr>
              <w:t>指标值</w:t>
            </w:r>
          </w:p>
        </w:tc>
        <w:tc>
          <w:tcPr>
            <w:tcW w:w="1795"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78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0"/>
                <w:szCs w:val="20"/>
                <w:lang w:bidi="ar"/>
              </w:rPr>
            </w:pPr>
            <w:r>
              <w:rPr>
                <w:rFonts w:hint="eastAsia" w:asciiTheme="minorEastAsia" w:hAnsiTheme="minorEastAsia" w:eastAsiaTheme="minorEastAsia" w:cstheme="minorEastAsia"/>
                <w:sz w:val="20"/>
                <w:szCs w:val="20"/>
                <w:lang w:bidi="ar"/>
              </w:rPr>
              <w:t>1</w:t>
            </w:r>
          </w:p>
        </w:tc>
        <w:tc>
          <w:tcPr>
            <w:tcW w:w="130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bidi="ar"/>
              </w:rPr>
            </w:pPr>
            <w:r>
              <w:rPr>
                <w:rFonts w:hint="eastAsia" w:asciiTheme="minorEastAsia" w:hAnsiTheme="minorEastAsia" w:eastAsiaTheme="minorEastAsia" w:cstheme="minorEastAsia"/>
                <w:sz w:val="20"/>
                <w:szCs w:val="20"/>
                <w:lang w:eastAsia="zh-Hans" w:bidi="ar"/>
              </w:rPr>
              <w:t>可持续影响</w:t>
            </w:r>
            <w:r>
              <w:rPr>
                <w:rFonts w:hint="eastAsia" w:ascii="宋体" w:hAnsi="宋体" w:eastAsia="宋体" w:cs="宋体"/>
                <w:sz w:val="20"/>
                <w:szCs w:val="20"/>
                <w:lang w:eastAsia="zh-Hans" w:bidi="ar"/>
              </w:rPr>
              <w:t>指标</w:t>
            </w:r>
          </w:p>
        </w:tc>
        <w:tc>
          <w:tcPr>
            <w:tcW w:w="322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bidi="ar"/>
              </w:rPr>
            </w:pPr>
            <w:r>
              <w:rPr>
                <w:rFonts w:hint="eastAsia" w:asciiTheme="minorEastAsia" w:hAnsiTheme="minorEastAsia" w:eastAsiaTheme="minorEastAsia" w:cstheme="minorEastAsia"/>
                <w:sz w:val="20"/>
                <w:szCs w:val="20"/>
                <w:lang w:bidi="ar"/>
              </w:rPr>
              <w:t>基本药物制度在基层持续实施</w:t>
            </w:r>
          </w:p>
        </w:tc>
        <w:tc>
          <w:tcPr>
            <w:tcW w:w="133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bidi="ar"/>
              </w:rPr>
            </w:pPr>
            <w:r>
              <w:rPr>
                <w:rFonts w:hint="eastAsia" w:asciiTheme="minorEastAsia" w:hAnsiTheme="minorEastAsia" w:eastAsiaTheme="minorEastAsia" w:cstheme="minorEastAsia"/>
                <w:sz w:val="20"/>
                <w:szCs w:val="20"/>
                <w:lang w:bidi="ar"/>
              </w:rPr>
              <w:t>中长期</w:t>
            </w:r>
          </w:p>
        </w:tc>
        <w:tc>
          <w:tcPr>
            <w:tcW w:w="179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bidi="ar"/>
              </w:rPr>
            </w:pPr>
            <w:r>
              <w:rPr>
                <w:rFonts w:hint="eastAsia" w:asciiTheme="minorEastAsia" w:hAnsiTheme="minorEastAsia" w:eastAsiaTheme="minorEastAsia" w:cstheme="minorEastAsia"/>
                <w:sz w:val="20"/>
                <w:szCs w:val="20"/>
                <w:lang w:bidi="ar"/>
              </w:rPr>
              <w:t>中长期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78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bidi="ar"/>
              </w:rPr>
              <w:t>2</w:t>
            </w:r>
          </w:p>
        </w:tc>
        <w:tc>
          <w:tcPr>
            <w:tcW w:w="130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Hans" w:bidi="ar"/>
              </w:rPr>
              <w:t>可持续影响</w:t>
            </w:r>
            <w:r>
              <w:rPr>
                <w:rFonts w:hint="eastAsia" w:ascii="宋体" w:hAnsi="宋体" w:eastAsia="宋体" w:cs="宋体"/>
                <w:sz w:val="20"/>
                <w:szCs w:val="20"/>
                <w:lang w:eastAsia="zh-Hans" w:bidi="ar"/>
              </w:rPr>
              <w:t>指标</w:t>
            </w:r>
          </w:p>
        </w:tc>
        <w:tc>
          <w:tcPr>
            <w:tcW w:w="322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bidi="ar"/>
              </w:rPr>
            </w:pPr>
            <w:r>
              <w:rPr>
                <w:rFonts w:hint="eastAsia" w:asciiTheme="minorEastAsia" w:hAnsiTheme="minorEastAsia" w:eastAsiaTheme="minorEastAsia" w:cstheme="minorEastAsia"/>
                <w:sz w:val="20"/>
                <w:szCs w:val="20"/>
                <w:lang w:bidi="ar"/>
              </w:rPr>
              <w:t>医共体建设符合“紧密型”“控费用”“同质化”“促分工”发展方向</w:t>
            </w:r>
          </w:p>
        </w:tc>
        <w:tc>
          <w:tcPr>
            <w:tcW w:w="133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bidi="ar"/>
              </w:rPr>
            </w:pPr>
            <w:r>
              <w:rPr>
                <w:rFonts w:hint="eastAsia" w:asciiTheme="minorEastAsia" w:hAnsiTheme="minorEastAsia" w:eastAsiaTheme="minorEastAsia" w:cstheme="minorEastAsia"/>
                <w:sz w:val="20"/>
                <w:szCs w:val="20"/>
                <w:lang w:bidi="ar"/>
              </w:rPr>
              <w:t>稳步发展</w:t>
            </w:r>
          </w:p>
        </w:tc>
        <w:tc>
          <w:tcPr>
            <w:tcW w:w="179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bidi="ar"/>
              </w:rPr>
            </w:pPr>
            <w:r>
              <w:rPr>
                <w:rFonts w:hint="eastAsia" w:asciiTheme="minorEastAsia" w:hAnsiTheme="minorEastAsia" w:eastAsiaTheme="minorEastAsia" w:cstheme="minorEastAsia"/>
                <w:sz w:val="20"/>
                <w:szCs w:val="20"/>
                <w:lang w:bidi="ar"/>
              </w:rPr>
              <w:t>稳步发展</w:t>
            </w:r>
          </w:p>
        </w:tc>
      </w:tr>
    </w:tbl>
    <w:p>
      <w:pPr>
        <w:spacing w:line="580" w:lineRule="exact"/>
        <w:ind w:firstLine="628" w:firstLineChars="200"/>
        <w:jc w:val="both"/>
        <w:outlineLvl w:val="1"/>
        <w:rPr>
          <w:rFonts w:ascii="黑体" w:hAnsi="黑体" w:eastAsia="黑体" w:cs="黑体"/>
          <w:sz w:val="32"/>
          <w:szCs w:val="32"/>
        </w:rPr>
      </w:pPr>
      <w:r>
        <w:rPr>
          <w:rFonts w:ascii="黑体" w:hAnsi="黑体" w:eastAsia="黑体" w:cs="黑体"/>
          <w:bCs/>
          <w:spacing w:val="-3"/>
          <w:sz w:val="32"/>
          <w:szCs w:val="32"/>
        </w:rPr>
        <w:t>三、</w:t>
      </w:r>
      <w:r>
        <w:rPr>
          <w:rFonts w:ascii="黑体" w:hAnsi="黑体" w:eastAsia="黑体" w:cs="黑体"/>
          <w:spacing w:val="-55"/>
          <w:sz w:val="32"/>
          <w:szCs w:val="32"/>
        </w:rPr>
        <w:t xml:space="preserve"> </w:t>
      </w:r>
      <w:r>
        <w:rPr>
          <w:rFonts w:ascii="黑体" w:hAnsi="黑体" w:eastAsia="黑体" w:cs="黑体"/>
          <w:bCs/>
          <w:spacing w:val="-3"/>
          <w:sz w:val="32"/>
          <w:szCs w:val="32"/>
        </w:rPr>
        <w:t>偏离绩效目标的原因和下一步改进措施</w:t>
      </w:r>
    </w:p>
    <w:p>
      <w:pPr>
        <w:widowControl w:val="0"/>
        <w:kinsoku/>
        <w:autoSpaceDE/>
        <w:autoSpaceDN/>
        <w:adjustRightInd/>
        <w:snapToGrid/>
        <w:spacing w:line="580" w:lineRule="exact"/>
        <w:ind w:firstLine="640" w:firstLineChars="200"/>
        <w:jc w:val="both"/>
        <w:textAlignment w:val="auto"/>
        <w:rPr>
          <w:rFonts w:hint="eastAsia" w:ascii="楷体" w:hAnsi="楷体" w:eastAsia="楷体_GB2312" w:cs="楷体"/>
          <w:b/>
          <w:snapToGrid/>
          <w:kern w:val="2"/>
          <w:sz w:val="32"/>
          <w:szCs w:val="32"/>
          <w:lang w:val="en-US" w:eastAsia="zh-CN"/>
        </w:rPr>
      </w:pPr>
      <w:bookmarkStart w:id="3" w:name="_Toc100612294_WPSOffice_Level2"/>
      <w:bookmarkStart w:id="4" w:name="_Toc921195069_WPSOffice_Level2"/>
      <w:r>
        <w:rPr>
          <w:rFonts w:hint="eastAsia" w:ascii="楷体_GB2312" w:hAnsi="楷体_GB2312" w:eastAsia="楷体_GB2312" w:cs="楷体_GB2312"/>
          <w:bCs/>
          <w:snapToGrid/>
          <w:kern w:val="2"/>
          <w:sz w:val="32"/>
          <w:szCs w:val="32"/>
        </w:rPr>
        <w:t>（一）偏离绩效目标的原因</w:t>
      </w:r>
      <w:r>
        <w:rPr>
          <w:rFonts w:hint="eastAsia" w:ascii="楷体_GB2312" w:hAnsi="楷体_GB2312" w:eastAsia="楷体_GB2312" w:cs="楷体_GB2312"/>
          <w:bCs/>
          <w:snapToGrid/>
          <w:kern w:val="2"/>
          <w:sz w:val="32"/>
          <w:szCs w:val="32"/>
          <w:lang w:val="en-US" w:eastAsia="zh-CN"/>
        </w:rPr>
        <w:t>分析</w:t>
      </w:r>
    </w:p>
    <w:p>
      <w:pPr>
        <w:kinsoku/>
        <w:autoSpaceDE/>
        <w:autoSpaceDN/>
        <w:adjustRightInd/>
        <w:snapToGrid/>
        <w:spacing w:line="580" w:lineRule="exact"/>
        <w:ind w:firstLine="640" w:firstLineChars="200"/>
        <w:textAlignment w:val="auto"/>
        <w:rPr>
          <w:rFonts w:ascii="仿宋_GB2312" w:hAnsi="仿宋_GB2312" w:cs="仿宋_GB2312"/>
          <w:bCs w:val="0"/>
          <w:snapToGrid/>
          <w:kern w:val="2"/>
          <w:sz w:val="32"/>
          <w:szCs w:val="32"/>
        </w:rPr>
      </w:pPr>
      <w:r>
        <w:rPr>
          <w:rFonts w:hint="eastAsia" w:ascii="仿宋_GB2312" w:hAnsi="仿宋_GB2312" w:eastAsia="仿宋_GB2312" w:cs="仿宋_GB2312"/>
          <w:snapToGrid/>
          <w:kern w:val="2"/>
          <w:sz w:val="32"/>
          <w:szCs w:val="32"/>
        </w:rPr>
        <w:t>综合本次绩效评价工作绩效目标、绩效指标完成情况，北京市基本药物制度补助资金转移支付资金共设置7项绩效指标，均已实现预期目标值</w:t>
      </w:r>
      <w:bookmarkEnd w:id="3"/>
      <w:r>
        <w:rPr>
          <w:rFonts w:hint="eastAsia" w:ascii="仿宋_GB2312" w:hAnsi="仿宋_GB2312" w:cs="仿宋_GB2312"/>
          <w:bCs w:val="0"/>
          <w:snapToGrid/>
          <w:kern w:val="2"/>
          <w:sz w:val="32"/>
          <w:szCs w:val="32"/>
        </w:rPr>
        <w:t>。</w:t>
      </w:r>
    </w:p>
    <w:p>
      <w:pPr>
        <w:kinsoku/>
        <w:autoSpaceDE/>
        <w:autoSpaceDN/>
        <w:adjustRightInd/>
        <w:snapToGrid/>
        <w:spacing w:line="580" w:lineRule="exact"/>
        <w:ind w:firstLine="640" w:firstLineChars="200"/>
        <w:textAlignment w:val="auto"/>
        <w:rPr>
          <w:rFonts w:ascii="仿宋" w:hAnsi="仿宋" w:eastAsia="仿宋" w:cs="黑体"/>
          <w:bCs/>
          <w:snapToGrid/>
          <w:kern w:val="2"/>
          <w:sz w:val="32"/>
          <w:szCs w:val="32"/>
        </w:rPr>
      </w:pPr>
      <w:r>
        <w:rPr>
          <w:rFonts w:hint="eastAsia" w:ascii="楷体" w:hAnsi="楷体" w:eastAsia="楷体" w:cs="楷体"/>
          <w:bCs/>
          <w:snapToGrid/>
          <w:kern w:val="2"/>
          <w:sz w:val="32"/>
          <w:szCs w:val="32"/>
          <w:lang w:bidi="ar"/>
        </w:rPr>
        <w:t>（二）下一步改进措施</w:t>
      </w:r>
      <w:bookmarkEnd w:id="4"/>
      <w:r>
        <w:rPr>
          <w:rFonts w:hint="eastAsia" w:ascii="楷体" w:hAnsi="楷体" w:eastAsia="楷体" w:cs="楷体"/>
          <w:bCs/>
          <w:snapToGrid/>
          <w:kern w:val="2"/>
          <w:sz w:val="32"/>
          <w:szCs w:val="32"/>
        </w:rPr>
        <w:t xml:space="preserve"> </w:t>
      </w:r>
    </w:p>
    <w:p>
      <w:pPr>
        <w:pStyle w:val="2"/>
        <w:spacing w:line="580" w:lineRule="exact"/>
        <w:ind w:firstLine="640" w:firstLineChars="200"/>
        <w:rPr>
          <w:rFonts w:ascii="仿宋_GB2312" w:hAnsi="仿宋_GB2312" w:cs="仿宋_GB2312"/>
          <w:sz w:val="32"/>
          <w:szCs w:val="32"/>
        </w:rPr>
      </w:pPr>
      <w:r>
        <w:rPr>
          <w:rFonts w:hint="eastAsia" w:ascii="仿宋_GB2312" w:hAnsi="仿宋_GB2312" w:cs="仿宋_GB2312"/>
          <w:bCs w:val="0"/>
          <w:snapToGrid/>
          <w:kern w:val="2"/>
          <w:sz w:val="32"/>
          <w:szCs w:val="32"/>
        </w:rPr>
        <w:t>1</w:t>
      </w:r>
      <w:r>
        <w:rPr>
          <w:rFonts w:hint="eastAsia" w:ascii="仿宋_GB2312" w:hAnsi="仿宋_GB2312" w:cs="仿宋_GB2312"/>
          <w:bCs w:val="0"/>
          <w:snapToGrid/>
          <w:kern w:val="2"/>
          <w:sz w:val="32"/>
          <w:szCs w:val="32"/>
          <w:lang w:eastAsia="zh-Hans"/>
        </w:rPr>
        <w:t>.</w:t>
      </w:r>
      <w:r>
        <w:rPr>
          <w:rFonts w:hint="eastAsia" w:ascii="仿宋_GB2312" w:hAnsi="仿宋_GB2312" w:cs="仿宋_GB2312"/>
          <w:bCs w:val="0"/>
          <w:snapToGrid/>
          <w:kern w:val="2"/>
          <w:sz w:val="32"/>
          <w:szCs w:val="32"/>
        </w:rPr>
        <w:t>加大项目统筹力度，压实项目管理责任。下一步将持续强化中央转移支付资金项目管理，做好项目统筹管理能力提升。压实项目单位主体责任，加强实施中期监控信息综合分析，及时纠偏，切实履行部门的项目执行和监督管理职能。</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2.从国家层面加大项目资金投入；完善对基本药物采购、使用、评价体系；加大宣传力度，通过各种方式深入宣传国家基本药物制度及合理用药知识，进一步增加群众对基药的认同感，构建和谐医患关系，确保医疗质量，确保用药安全</w:t>
      </w:r>
      <w:r>
        <w:rPr>
          <w:rFonts w:hint="eastAsia" w:ascii="仿宋_GB2312" w:hAnsi="仿宋_GB2312" w:eastAsia="仿宋_GB2312" w:cs="仿宋_GB2312"/>
          <w:sz w:val="32"/>
          <w:szCs w:val="32"/>
        </w:rPr>
        <w:t>。</w:t>
      </w:r>
    </w:p>
    <w:p>
      <w:pPr>
        <w:spacing w:line="580" w:lineRule="exact"/>
        <w:ind w:firstLine="640" w:firstLineChars="200"/>
        <w:jc w:val="both"/>
        <w:rPr>
          <w:rFonts w:ascii="仿宋_GB2312" w:hAnsi="仿宋_GB2312" w:eastAsia="仿宋_GB2312" w:cs="仿宋_GB2312"/>
          <w:sz w:val="32"/>
          <w:szCs w:val="32"/>
          <w:lang w:eastAsia="zh-Hans"/>
        </w:rPr>
      </w:pPr>
      <w:r>
        <w:rPr>
          <w:rFonts w:hint="eastAsia" w:ascii="仿宋_GB2312" w:hAnsi="仿宋_GB2312" w:eastAsia="仿宋_GB2312" w:cs="仿宋_GB2312"/>
          <w:snapToGrid/>
          <w:kern w:val="2"/>
          <w:sz w:val="32"/>
          <w:szCs w:val="32"/>
        </w:rPr>
        <w:t>3</w:t>
      </w:r>
      <w:r>
        <w:rPr>
          <w:rFonts w:hint="eastAsia" w:ascii="仿宋_GB2312" w:hAnsi="仿宋_GB2312" w:eastAsia="仿宋_GB2312" w:cs="仿宋_GB2312"/>
          <w:snapToGrid/>
          <w:kern w:val="2"/>
          <w:sz w:val="32"/>
          <w:szCs w:val="32"/>
          <w:lang w:eastAsia="zh-Hans"/>
        </w:rPr>
        <w:t>.重视资料</w:t>
      </w:r>
      <w:r>
        <w:rPr>
          <w:rFonts w:hint="eastAsia" w:ascii="仿宋_GB2312" w:hAnsi="仿宋_GB2312" w:eastAsia="仿宋_GB2312" w:cs="仿宋_GB2312"/>
          <w:snapToGrid/>
          <w:kern w:val="2"/>
          <w:sz w:val="32"/>
          <w:szCs w:val="32"/>
        </w:rPr>
        <w:t>归集，夯实绩效管理成果。积极推进项目管理资料归集整理工作，不断强化项目绩效管理意识。按照事前、事中、事后全流程管理思路，重点聚焦项目计划、项目实施过程监督、项目结项验收评价，做好工作资料归集建档，为项目绩效管理工作推进奠定基础。</w:t>
      </w:r>
    </w:p>
    <w:p>
      <w:pPr>
        <w:spacing w:line="580" w:lineRule="exact"/>
        <w:ind w:firstLine="620" w:firstLineChars="200"/>
        <w:outlineLvl w:val="1"/>
        <w:rPr>
          <w:rFonts w:ascii="黑体" w:hAnsi="黑体" w:eastAsia="黑体" w:cs="黑体"/>
          <w:sz w:val="32"/>
          <w:szCs w:val="32"/>
        </w:rPr>
      </w:pPr>
      <w:r>
        <w:rPr>
          <w:rFonts w:ascii="黑体" w:hAnsi="黑体" w:eastAsia="黑体" w:cs="黑体"/>
          <w:bCs/>
          <w:spacing w:val="-5"/>
          <w:sz w:val="32"/>
          <w:szCs w:val="32"/>
        </w:rPr>
        <w:t>四、</w:t>
      </w:r>
      <w:r>
        <w:rPr>
          <w:rFonts w:ascii="黑体" w:hAnsi="黑体" w:eastAsia="黑体" w:cs="黑体"/>
          <w:spacing w:val="-55"/>
          <w:sz w:val="32"/>
          <w:szCs w:val="32"/>
        </w:rPr>
        <w:t xml:space="preserve"> </w:t>
      </w:r>
      <w:r>
        <w:rPr>
          <w:rFonts w:ascii="黑体" w:hAnsi="黑体" w:eastAsia="黑体" w:cs="黑体"/>
          <w:bCs/>
          <w:spacing w:val="-5"/>
          <w:sz w:val="32"/>
          <w:szCs w:val="32"/>
        </w:rPr>
        <w:t>绩效自评结果拟应用和公开情况</w:t>
      </w:r>
    </w:p>
    <w:p>
      <w:pPr>
        <w:kinsoku/>
        <w:autoSpaceDE/>
        <w:autoSpaceDN/>
        <w:adjustRightInd/>
        <w:snapToGrid/>
        <w:spacing w:line="580" w:lineRule="exact"/>
        <w:ind w:firstLine="640" w:firstLineChars="200"/>
        <w:textAlignment w:val="auto"/>
        <w:rPr>
          <w:rFonts w:ascii="楷体" w:hAnsi="楷体" w:eastAsia="楷体" w:cs="楷体"/>
          <w:bCs/>
          <w:snapToGrid/>
          <w:kern w:val="2"/>
          <w:sz w:val="32"/>
          <w:szCs w:val="32"/>
          <w:lang w:bidi="ar"/>
        </w:rPr>
      </w:pPr>
      <w:bookmarkStart w:id="5" w:name="_Toc1770925414_WPSOffice_Level2"/>
      <w:r>
        <w:rPr>
          <w:rFonts w:hint="eastAsia" w:ascii="楷体" w:hAnsi="楷体" w:eastAsia="楷体" w:cs="楷体"/>
          <w:bCs/>
          <w:snapToGrid/>
          <w:kern w:val="2"/>
          <w:sz w:val="32"/>
          <w:szCs w:val="32"/>
          <w:lang w:bidi="ar"/>
        </w:rPr>
        <w:t>（一）绩效自评结果</w:t>
      </w:r>
      <w:bookmarkEnd w:id="5"/>
    </w:p>
    <w:p>
      <w:pPr>
        <w:kinsoku/>
        <w:autoSpaceDE/>
        <w:autoSpaceDN/>
        <w:adjustRightInd/>
        <w:snapToGrid/>
        <w:spacing w:line="580" w:lineRule="exact"/>
        <w:ind w:firstLine="640" w:firstLineChars="200"/>
        <w:textAlignment w:val="auto"/>
        <w:rPr>
          <w:rFonts w:ascii="仿宋_GB2312" w:hAnsi="仿宋_GB2312" w:eastAsia="仿宋_GB2312" w:cs="仿宋_GB2312"/>
          <w:bCs/>
          <w:snapToGrid/>
          <w:kern w:val="2"/>
          <w:sz w:val="32"/>
          <w:szCs w:val="32"/>
          <w:lang w:bidi="ar"/>
        </w:rPr>
      </w:pPr>
      <w:bookmarkStart w:id="6" w:name="_Toc1967569325_WPSOffice_Level2"/>
      <w:r>
        <w:rPr>
          <w:rFonts w:hint="eastAsia" w:ascii="仿宋_GB2312" w:hAnsi="仿宋_GB2312" w:eastAsia="仿宋_GB2312" w:cs="仿宋_GB2312"/>
          <w:bCs/>
          <w:snapToGrid/>
          <w:kern w:val="2"/>
          <w:sz w:val="32"/>
          <w:szCs w:val="32"/>
          <w:lang w:bidi="ar"/>
        </w:rPr>
        <w:t>根据本次绩效自评工作结果，本项目共设置7项年度绩效指标，</w:t>
      </w:r>
      <w:r>
        <w:rPr>
          <w:rFonts w:hint="eastAsia" w:ascii="仿宋_GB2312" w:hAnsi="仿宋_GB2312" w:eastAsia="仿宋_GB2312" w:cs="仿宋_GB2312"/>
          <w:sz w:val="32"/>
          <w:szCs w:val="32"/>
        </w:rPr>
        <w:t>均已实现预期目标值，</w:t>
      </w:r>
      <w:r>
        <w:rPr>
          <w:rFonts w:hint="eastAsia" w:ascii="仿宋_GB2312" w:hAnsi="仿宋_GB2312" w:eastAsia="仿宋_GB2312" w:cs="仿宋_GB2312"/>
          <w:snapToGrid/>
          <w:kern w:val="2"/>
          <w:sz w:val="32"/>
          <w:szCs w:val="32"/>
          <w:lang w:bidi="ar"/>
        </w:rPr>
        <w:t>暂无绩效目标偏离情况。</w:t>
      </w:r>
    </w:p>
    <w:p>
      <w:pPr>
        <w:kinsoku/>
        <w:autoSpaceDE/>
        <w:autoSpaceDN/>
        <w:adjustRightInd/>
        <w:snapToGrid/>
        <w:spacing w:line="580" w:lineRule="exact"/>
        <w:ind w:firstLine="640" w:firstLineChars="200"/>
        <w:textAlignment w:val="auto"/>
        <w:rPr>
          <w:rFonts w:ascii="楷体" w:hAnsi="楷体" w:eastAsia="楷体" w:cs="楷体"/>
          <w:bCs/>
          <w:snapToGrid/>
          <w:kern w:val="2"/>
          <w:sz w:val="32"/>
          <w:szCs w:val="32"/>
          <w:lang w:bidi="ar"/>
        </w:rPr>
      </w:pPr>
      <w:r>
        <w:rPr>
          <w:rFonts w:hint="eastAsia" w:ascii="楷体" w:hAnsi="楷体" w:eastAsia="楷体" w:cs="楷体"/>
          <w:bCs/>
          <w:snapToGrid/>
          <w:kern w:val="2"/>
          <w:sz w:val="32"/>
          <w:szCs w:val="32"/>
          <w:lang w:bidi="ar"/>
        </w:rPr>
        <w:t>（二）绩效自评结果应用</w:t>
      </w:r>
      <w:bookmarkEnd w:id="6"/>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color w:val="FF0000"/>
          <w:kern w:val="2"/>
          <w:sz w:val="32"/>
          <w:szCs w:val="32"/>
        </w:rPr>
      </w:pPr>
      <w:bookmarkStart w:id="7" w:name="_Toc1984448769_WPSOffice_Level2"/>
      <w:r>
        <w:rPr>
          <w:rFonts w:hint="eastAsia" w:ascii="仿宋_GB2312" w:hAnsi="仿宋_GB2312" w:eastAsia="仿宋_GB2312" w:cs="仿宋_GB2312"/>
          <w:bCs/>
          <w:snapToGrid/>
          <w:kern w:val="2"/>
          <w:sz w:val="32"/>
          <w:szCs w:val="32"/>
          <w:lang w:bidi="ar"/>
        </w:rPr>
        <w:t>1.落实评价问题整改，推进项目执行</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lang w:bidi="ar"/>
        </w:rPr>
        <w:t>本次绩效评价后，北京</w:t>
      </w:r>
      <w:r>
        <w:rPr>
          <w:rFonts w:hint="eastAsia" w:ascii="仿宋_GB2312" w:hAnsi="仿宋_GB2312" w:eastAsia="仿宋_GB2312" w:cs="仿宋_GB2312"/>
          <w:bCs/>
          <w:snapToGrid/>
          <w:kern w:val="2"/>
          <w:sz w:val="32"/>
          <w:szCs w:val="32"/>
          <w:lang w:eastAsia="zh-Hans" w:bidi="ar"/>
        </w:rPr>
        <w:t>市</w:t>
      </w:r>
      <w:r>
        <w:rPr>
          <w:rFonts w:hint="eastAsia" w:ascii="仿宋_GB2312" w:hAnsi="仿宋_GB2312" w:eastAsia="仿宋_GB2312" w:cs="仿宋_GB2312"/>
          <w:bCs/>
          <w:snapToGrid/>
          <w:kern w:val="2"/>
          <w:sz w:val="32"/>
          <w:szCs w:val="32"/>
          <w:lang w:bidi="ar"/>
        </w:rPr>
        <w:t>卫生健康委员会将整理</w:t>
      </w:r>
      <w:r>
        <w:rPr>
          <w:rFonts w:hint="eastAsia" w:ascii="仿宋_GB2312" w:hAnsi="仿宋_GB2312" w:eastAsia="仿宋_GB2312" w:cs="仿宋_GB2312"/>
          <w:bCs/>
          <w:snapToGrid/>
          <w:kern w:val="2"/>
          <w:sz w:val="32"/>
          <w:szCs w:val="32"/>
          <w:lang w:eastAsia="zh-Hans" w:bidi="ar"/>
        </w:rPr>
        <w:t>项目</w:t>
      </w:r>
      <w:r>
        <w:rPr>
          <w:rFonts w:hint="eastAsia" w:ascii="仿宋_GB2312" w:hAnsi="仿宋_GB2312" w:eastAsia="仿宋_GB2312" w:cs="仿宋_GB2312"/>
          <w:bCs/>
          <w:snapToGrid/>
          <w:kern w:val="2"/>
          <w:sz w:val="32"/>
          <w:szCs w:val="32"/>
          <w:lang w:bidi="ar"/>
        </w:rPr>
        <w:t>存在问题清单，以通报或整改通知形式督促</w:t>
      </w:r>
      <w:r>
        <w:rPr>
          <w:rFonts w:hint="eastAsia" w:ascii="仿宋_GB2312" w:hAnsi="仿宋_GB2312" w:eastAsia="仿宋_GB2312" w:cs="仿宋_GB2312"/>
          <w:bCs/>
          <w:snapToGrid/>
          <w:kern w:val="2"/>
          <w:sz w:val="32"/>
          <w:szCs w:val="32"/>
          <w:lang w:eastAsia="zh-Hans" w:bidi="ar"/>
        </w:rPr>
        <w:t>相关</w:t>
      </w:r>
      <w:r>
        <w:rPr>
          <w:rFonts w:hint="eastAsia" w:ascii="仿宋_GB2312" w:hAnsi="仿宋_GB2312" w:eastAsia="仿宋_GB2312" w:cs="仿宋_GB2312"/>
          <w:bCs/>
          <w:snapToGrid/>
          <w:kern w:val="2"/>
          <w:sz w:val="32"/>
          <w:szCs w:val="32"/>
          <w:lang w:bidi="ar"/>
        </w:rPr>
        <w:t>部门进行整改。同时，根据清单总结专项资金执行过程中常见问题，形成对策，与存在问题清单一并下发，为项目单位提供执行指引。</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lang w:bidi="ar"/>
        </w:rPr>
        <w:t>2.自评结果强化应用，强化刚性约束</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lang w:bidi="ar"/>
        </w:rPr>
        <w:t>本次绩效评价后，北京市卫生健康委员会将综合考量各单位预算执行情况、自评得分、自评工作质量等因素，加快建立评价结果与预算编制挂钩紧密衔接的激励约束机制，并为下一年度资金项目安排提供重要参考依</w:t>
      </w:r>
      <w:bookmarkStart w:id="8" w:name="_GoBack"/>
      <w:bookmarkEnd w:id="8"/>
      <w:r>
        <w:rPr>
          <w:rFonts w:hint="eastAsia" w:ascii="仿宋_GB2312" w:hAnsi="仿宋_GB2312" w:eastAsia="仿宋_GB2312" w:cs="仿宋_GB2312"/>
          <w:bCs/>
          <w:snapToGrid/>
          <w:kern w:val="2"/>
          <w:sz w:val="32"/>
          <w:szCs w:val="32"/>
          <w:lang w:bidi="ar"/>
        </w:rPr>
        <w:t>据。</w:t>
      </w:r>
    </w:p>
    <w:p>
      <w:pPr>
        <w:kinsoku/>
        <w:autoSpaceDE/>
        <w:autoSpaceDN/>
        <w:adjustRightInd/>
        <w:snapToGrid/>
        <w:spacing w:line="580" w:lineRule="exact"/>
        <w:ind w:firstLine="640" w:firstLineChars="200"/>
        <w:textAlignment w:val="auto"/>
        <w:rPr>
          <w:rFonts w:ascii="楷体" w:hAnsi="楷体" w:eastAsia="楷体" w:cs="楷体"/>
          <w:bCs/>
          <w:snapToGrid/>
          <w:kern w:val="2"/>
          <w:sz w:val="32"/>
          <w:szCs w:val="32"/>
          <w:lang w:bidi="ar"/>
        </w:rPr>
      </w:pPr>
      <w:r>
        <w:rPr>
          <w:rFonts w:hint="eastAsia" w:ascii="楷体" w:hAnsi="楷体" w:eastAsia="楷体" w:cs="楷体"/>
          <w:bCs/>
          <w:snapToGrid/>
          <w:kern w:val="2"/>
          <w:sz w:val="32"/>
          <w:szCs w:val="32"/>
          <w:lang w:bidi="ar"/>
        </w:rPr>
        <w:t>（三）绩效自评结果公开情况</w:t>
      </w:r>
      <w:bookmarkEnd w:id="7"/>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lang w:bidi="ar"/>
        </w:rPr>
        <w:t>通过开展项目绩效评价，督促资金执行进度，提高资金使用效率，及时整理、归纳、分析、反馈绩效评价结果，北京市卫生健康委员会将相关工作结果呈报上级部门审核，并按预算公开要求依法依规进行公开。</w:t>
      </w:r>
    </w:p>
    <w:p>
      <w:pPr>
        <w:spacing w:line="580" w:lineRule="exact"/>
        <w:ind w:firstLine="616" w:firstLineChars="200"/>
        <w:outlineLvl w:val="1"/>
        <w:rPr>
          <w:rFonts w:ascii="黑体" w:hAnsi="黑体" w:eastAsia="黑体" w:cs="黑体"/>
          <w:bCs/>
          <w:sz w:val="32"/>
          <w:szCs w:val="32"/>
        </w:rPr>
      </w:pPr>
      <w:r>
        <w:rPr>
          <w:rFonts w:hint="eastAsia" w:ascii="黑体" w:hAnsi="黑体" w:eastAsia="黑体" w:cs="黑体"/>
          <w:bCs/>
          <w:spacing w:val="-6"/>
          <w:sz w:val="32"/>
          <w:szCs w:val="32"/>
        </w:rPr>
        <w:t>五、其他需要说明的问题</w:t>
      </w:r>
    </w:p>
    <w:p>
      <w:pPr>
        <w:spacing w:line="580" w:lineRule="exact"/>
        <w:ind w:firstLine="648" w:firstLineChars="200"/>
        <w:rPr>
          <w:rFonts w:ascii="仿宋" w:hAnsi="仿宋" w:eastAsia="仿宋" w:cs="仿宋"/>
          <w:sz w:val="32"/>
          <w:szCs w:val="32"/>
        </w:rPr>
      </w:pPr>
      <w:r>
        <w:rPr>
          <w:rFonts w:hint="eastAsia" w:ascii="仿宋" w:hAnsi="仿宋" w:eastAsia="仿宋" w:cs="仿宋"/>
          <w:spacing w:val="2"/>
          <w:sz w:val="32"/>
          <w:szCs w:val="32"/>
        </w:rPr>
        <w:t>无</w:t>
      </w:r>
      <w:r>
        <w:rPr>
          <w:rFonts w:ascii="仿宋" w:hAnsi="仿宋" w:eastAsia="仿宋" w:cs="仿宋"/>
          <w:spacing w:val="2"/>
          <w:sz w:val="32"/>
          <w:szCs w:val="32"/>
        </w:rPr>
        <w:t>。</w:t>
      </w:r>
    </w:p>
    <w:p>
      <w:pPr>
        <w:spacing w:line="580" w:lineRule="exact"/>
        <w:ind w:firstLine="616" w:firstLineChars="200"/>
        <w:outlineLvl w:val="1"/>
        <w:rPr>
          <w:rFonts w:ascii="黑体" w:hAnsi="黑体" w:eastAsia="黑体" w:cs="黑体"/>
          <w:bCs/>
          <w:spacing w:val="-6"/>
          <w:sz w:val="32"/>
          <w:szCs w:val="32"/>
        </w:rPr>
      </w:pPr>
      <w:r>
        <w:rPr>
          <w:rFonts w:ascii="黑体" w:hAnsi="黑体" w:eastAsia="黑体" w:cs="黑体"/>
          <w:bCs/>
          <w:spacing w:val="-6"/>
          <w:sz w:val="32"/>
          <w:szCs w:val="32"/>
        </w:rPr>
        <w:t>六、附件</w:t>
      </w:r>
    </w:p>
    <w:p>
      <w:pPr>
        <w:spacing w:line="580" w:lineRule="exact"/>
        <w:ind w:firstLine="648" w:firstLineChars="200"/>
        <w:rPr>
          <w:rFonts w:ascii="仿宋" w:hAnsi="仿宋" w:eastAsia="仿宋" w:cs="仿宋"/>
          <w:spacing w:val="2"/>
          <w:sz w:val="32"/>
          <w:szCs w:val="32"/>
        </w:rPr>
      </w:pPr>
      <w:r>
        <w:rPr>
          <w:rFonts w:hint="eastAsia" w:ascii="仿宋" w:hAnsi="仿宋" w:eastAsia="仿宋" w:cs="仿宋"/>
          <w:spacing w:val="2"/>
          <w:sz w:val="32"/>
          <w:szCs w:val="32"/>
        </w:rPr>
        <w:t>2023年北京市基本药物制度补助资金</w:t>
      </w:r>
      <w:r>
        <w:rPr>
          <w:rFonts w:ascii="仿宋" w:hAnsi="仿宋" w:eastAsia="仿宋" w:cs="仿宋"/>
          <w:spacing w:val="2"/>
          <w:sz w:val="32"/>
          <w:szCs w:val="32"/>
        </w:rPr>
        <w:t>转移支付区域</w:t>
      </w:r>
      <w:r>
        <w:rPr>
          <w:rFonts w:hint="eastAsia" w:ascii="仿宋" w:hAnsi="仿宋" w:eastAsia="仿宋" w:cs="仿宋"/>
          <w:spacing w:val="2"/>
          <w:sz w:val="32"/>
          <w:szCs w:val="32"/>
        </w:rPr>
        <w:t>（</w:t>
      </w:r>
      <w:r>
        <w:rPr>
          <w:rFonts w:ascii="仿宋" w:hAnsi="仿宋" w:eastAsia="仿宋" w:cs="仿宋"/>
          <w:spacing w:val="2"/>
          <w:sz w:val="32"/>
          <w:szCs w:val="32"/>
        </w:rPr>
        <w:t>项目</w:t>
      </w:r>
      <w:r>
        <w:rPr>
          <w:rFonts w:hint="eastAsia" w:ascii="仿宋" w:hAnsi="仿宋" w:eastAsia="仿宋" w:cs="仿宋"/>
          <w:spacing w:val="2"/>
          <w:sz w:val="32"/>
          <w:szCs w:val="32"/>
        </w:rPr>
        <w:t>）</w:t>
      </w:r>
      <w:r>
        <w:rPr>
          <w:rFonts w:ascii="仿宋" w:hAnsi="仿宋" w:eastAsia="仿宋" w:cs="仿宋"/>
          <w:spacing w:val="2"/>
          <w:sz w:val="32"/>
          <w:szCs w:val="32"/>
        </w:rPr>
        <w:t>绩效目标自评表</w:t>
      </w:r>
    </w:p>
    <w:p>
      <w:pPr>
        <w:pStyle w:val="2"/>
        <w:spacing w:line="640" w:lineRule="exact"/>
        <w:rPr>
          <w:rFonts w:ascii="仿宋" w:hAnsi="仿宋" w:eastAsia="仿宋" w:cs="仿宋"/>
          <w:spacing w:val="2"/>
          <w:sz w:val="36"/>
          <w:szCs w:val="36"/>
        </w:rPr>
      </w:pPr>
    </w:p>
    <w:p>
      <w:pPr>
        <w:pStyle w:val="7"/>
        <w:spacing w:line="580" w:lineRule="exact"/>
        <w:ind w:firstLine="3888" w:firstLineChars="1200"/>
        <w:jc w:val="right"/>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北京市卫生健康委员会</w:t>
      </w:r>
    </w:p>
    <w:p>
      <w:pPr>
        <w:pStyle w:val="5"/>
        <w:widowControl w:val="0"/>
        <w:kinsoku/>
        <w:autoSpaceDE/>
        <w:autoSpaceDN/>
        <w:adjustRightInd/>
        <w:snapToGrid/>
        <w:spacing w:after="0" w:line="240" w:lineRule="auto"/>
        <w:jc w:val="right"/>
        <w:textAlignment w:val="auto"/>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2024年3月27日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560261"/>
    </w:sdtPr>
    <w:sdtEndPr>
      <w:rPr>
        <w:rFonts w:asciiTheme="minorEastAsia" w:hAnsiTheme="minorEastAsia" w:eastAsiaTheme="minorEastAsia"/>
        <w:sz w:val="28"/>
        <w:szCs w:val="28"/>
      </w:rPr>
    </w:sdtEndPr>
    <w:sdtContent>
      <w:p>
        <w:pPr>
          <w:pStyle w:val="8"/>
          <w:jc w:val="center"/>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16</w:t>
        </w:r>
        <w:r>
          <w:rPr>
            <w:rFonts w:asciiTheme="minorEastAsia" w:hAnsiTheme="minorEastAsia" w:eastAsiaTheme="minorEastAsia"/>
            <w:sz w:val="28"/>
            <w:szCs w:val="28"/>
          </w:rP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1YzNhMDM0NzVmZjc2Njk3YzFmNDk3NzNkYjRmOWIifQ=="/>
  </w:docVars>
  <w:rsids>
    <w:rsidRoot w:val="013B1BF0"/>
    <w:rsid w:val="00016E7D"/>
    <w:rsid w:val="00022A57"/>
    <w:rsid w:val="00084147"/>
    <w:rsid w:val="000B76E3"/>
    <w:rsid w:val="000C383D"/>
    <w:rsid w:val="000D14F6"/>
    <w:rsid w:val="000D41B9"/>
    <w:rsid w:val="000E543C"/>
    <w:rsid w:val="000F4B5E"/>
    <w:rsid w:val="000F67AF"/>
    <w:rsid w:val="0012739A"/>
    <w:rsid w:val="00137AF5"/>
    <w:rsid w:val="00172E78"/>
    <w:rsid w:val="00180116"/>
    <w:rsid w:val="001C2E68"/>
    <w:rsid w:val="001D3040"/>
    <w:rsid w:val="002350BB"/>
    <w:rsid w:val="002406F6"/>
    <w:rsid w:val="00246F7C"/>
    <w:rsid w:val="00246FE3"/>
    <w:rsid w:val="002B1F1F"/>
    <w:rsid w:val="002D64CC"/>
    <w:rsid w:val="002D6DDE"/>
    <w:rsid w:val="002E0730"/>
    <w:rsid w:val="002E12E3"/>
    <w:rsid w:val="002E1E3E"/>
    <w:rsid w:val="002F2400"/>
    <w:rsid w:val="002F7EE3"/>
    <w:rsid w:val="00300EA5"/>
    <w:rsid w:val="00332861"/>
    <w:rsid w:val="003660A0"/>
    <w:rsid w:val="00366ADD"/>
    <w:rsid w:val="0039665F"/>
    <w:rsid w:val="003A7EC5"/>
    <w:rsid w:val="003C3467"/>
    <w:rsid w:val="004851F9"/>
    <w:rsid w:val="0049399A"/>
    <w:rsid w:val="004D632D"/>
    <w:rsid w:val="004E7783"/>
    <w:rsid w:val="0052207E"/>
    <w:rsid w:val="00551EBD"/>
    <w:rsid w:val="005714D3"/>
    <w:rsid w:val="0059495A"/>
    <w:rsid w:val="00595136"/>
    <w:rsid w:val="005D3225"/>
    <w:rsid w:val="005E7E60"/>
    <w:rsid w:val="005F00C4"/>
    <w:rsid w:val="005F235A"/>
    <w:rsid w:val="0062354C"/>
    <w:rsid w:val="00632298"/>
    <w:rsid w:val="0064184C"/>
    <w:rsid w:val="00643BE3"/>
    <w:rsid w:val="00661394"/>
    <w:rsid w:val="00682C11"/>
    <w:rsid w:val="006B3C3D"/>
    <w:rsid w:val="006B6D1F"/>
    <w:rsid w:val="006D6822"/>
    <w:rsid w:val="006E0D2F"/>
    <w:rsid w:val="006E35F5"/>
    <w:rsid w:val="006F3069"/>
    <w:rsid w:val="00715653"/>
    <w:rsid w:val="007419CE"/>
    <w:rsid w:val="007C765A"/>
    <w:rsid w:val="007D7936"/>
    <w:rsid w:val="007F16C1"/>
    <w:rsid w:val="0080416A"/>
    <w:rsid w:val="00812309"/>
    <w:rsid w:val="00827EF1"/>
    <w:rsid w:val="00836645"/>
    <w:rsid w:val="008703AA"/>
    <w:rsid w:val="00926A41"/>
    <w:rsid w:val="00976853"/>
    <w:rsid w:val="00980285"/>
    <w:rsid w:val="009C115B"/>
    <w:rsid w:val="009F1D87"/>
    <w:rsid w:val="00A2011D"/>
    <w:rsid w:val="00A42719"/>
    <w:rsid w:val="00A61994"/>
    <w:rsid w:val="00AA18A1"/>
    <w:rsid w:val="00AA247B"/>
    <w:rsid w:val="00AA5FB8"/>
    <w:rsid w:val="00AA6430"/>
    <w:rsid w:val="00AA65F0"/>
    <w:rsid w:val="00AA7487"/>
    <w:rsid w:val="00AD41CB"/>
    <w:rsid w:val="00AD5FC7"/>
    <w:rsid w:val="00B01937"/>
    <w:rsid w:val="00B25133"/>
    <w:rsid w:val="00B25BD3"/>
    <w:rsid w:val="00B313B9"/>
    <w:rsid w:val="00B43C97"/>
    <w:rsid w:val="00B70BFC"/>
    <w:rsid w:val="00B95319"/>
    <w:rsid w:val="00BA6A0B"/>
    <w:rsid w:val="00BB200C"/>
    <w:rsid w:val="00BB5DC0"/>
    <w:rsid w:val="00BD7B43"/>
    <w:rsid w:val="00C43DE9"/>
    <w:rsid w:val="00CA5222"/>
    <w:rsid w:val="00CD0EC8"/>
    <w:rsid w:val="00CE72DF"/>
    <w:rsid w:val="00CF6289"/>
    <w:rsid w:val="00D30800"/>
    <w:rsid w:val="00D3452E"/>
    <w:rsid w:val="00D42354"/>
    <w:rsid w:val="00D53903"/>
    <w:rsid w:val="00D70BC0"/>
    <w:rsid w:val="00DB2EA8"/>
    <w:rsid w:val="00DE5DE0"/>
    <w:rsid w:val="00E033C6"/>
    <w:rsid w:val="00E2520A"/>
    <w:rsid w:val="00E25E48"/>
    <w:rsid w:val="00E27DFA"/>
    <w:rsid w:val="00E438A0"/>
    <w:rsid w:val="00E67F21"/>
    <w:rsid w:val="00E97934"/>
    <w:rsid w:val="00EB1551"/>
    <w:rsid w:val="00EE5A65"/>
    <w:rsid w:val="00F00049"/>
    <w:rsid w:val="00F05BA2"/>
    <w:rsid w:val="00F50AC6"/>
    <w:rsid w:val="00F74621"/>
    <w:rsid w:val="00FA60EB"/>
    <w:rsid w:val="00FD3040"/>
    <w:rsid w:val="00FE21F9"/>
    <w:rsid w:val="00FF5CC0"/>
    <w:rsid w:val="01170C55"/>
    <w:rsid w:val="013B1BF0"/>
    <w:rsid w:val="01FF3BC3"/>
    <w:rsid w:val="02661E94"/>
    <w:rsid w:val="02C72207"/>
    <w:rsid w:val="033755DF"/>
    <w:rsid w:val="044004C3"/>
    <w:rsid w:val="04602913"/>
    <w:rsid w:val="05F41565"/>
    <w:rsid w:val="068C21CA"/>
    <w:rsid w:val="07D4164E"/>
    <w:rsid w:val="092403B3"/>
    <w:rsid w:val="094822F4"/>
    <w:rsid w:val="098A290C"/>
    <w:rsid w:val="09A432A2"/>
    <w:rsid w:val="0A314B36"/>
    <w:rsid w:val="0A51082F"/>
    <w:rsid w:val="0BD7170D"/>
    <w:rsid w:val="0C9A6B39"/>
    <w:rsid w:val="0C9D3BC4"/>
    <w:rsid w:val="0E7B0A75"/>
    <w:rsid w:val="0E80608C"/>
    <w:rsid w:val="0EAD2BF9"/>
    <w:rsid w:val="0F9F2542"/>
    <w:rsid w:val="10703EDE"/>
    <w:rsid w:val="10B65D95"/>
    <w:rsid w:val="11D81D3B"/>
    <w:rsid w:val="122B27B2"/>
    <w:rsid w:val="12633CFA"/>
    <w:rsid w:val="133B6A25"/>
    <w:rsid w:val="13B642FE"/>
    <w:rsid w:val="14447B5C"/>
    <w:rsid w:val="14C91E0F"/>
    <w:rsid w:val="15064E11"/>
    <w:rsid w:val="1525173B"/>
    <w:rsid w:val="1695469E"/>
    <w:rsid w:val="187D188E"/>
    <w:rsid w:val="19A370D2"/>
    <w:rsid w:val="1ABC044C"/>
    <w:rsid w:val="1B966EEF"/>
    <w:rsid w:val="1C4032FE"/>
    <w:rsid w:val="1C827473"/>
    <w:rsid w:val="1CD001DE"/>
    <w:rsid w:val="1DE303E5"/>
    <w:rsid w:val="1E8E0351"/>
    <w:rsid w:val="1F5C27D7"/>
    <w:rsid w:val="1FFE1506"/>
    <w:rsid w:val="208A586E"/>
    <w:rsid w:val="20B971DB"/>
    <w:rsid w:val="211A411E"/>
    <w:rsid w:val="217A4BBD"/>
    <w:rsid w:val="220B7F0B"/>
    <w:rsid w:val="22602004"/>
    <w:rsid w:val="2265761B"/>
    <w:rsid w:val="228F4698"/>
    <w:rsid w:val="22D14CB0"/>
    <w:rsid w:val="25584B9A"/>
    <w:rsid w:val="26094761"/>
    <w:rsid w:val="2751A524"/>
    <w:rsid w:val="276E51C4"/>
    <w:rsid w:val="294452A8"/>
    <w:rsid w:val="296248B4"/>
    <w:rsid w:val="2A1C0F07"/>
    <w:rsid w:val="2A222295"/>
    <w:rsid w:val="2A3F69A3"/>
    <w:rsid w:val="2AC05D36"/>
    <w:rsid w:val="2B7E52A9"/>
    <w:rsid w:val="2D771A84"/>
    <w:rsid w:val="2D7B23E8"/>
    <w:rsid w:val="2DB17BB8"/>
    <w:rsid w:val="2EF73CF0"/>
    <w:rsid w:val="2FE778C1"/>
    <w:rsid w:val="30C776F3"/>
    <w:rsid w:val="31A27C60"/>
    <w:rsid w:val="327B402A"/>
    <w:rsid w:val="32DF0D23"/>
    <w:rsid w:val="340C1162"/>
    <w:rsid w:val="340C5B48"/>
    <w:rsid w:val="345B6AD0"/>
    <w:rsid w:val="346239BA"/>
    <w:rsid w:val="352670DE"/>
    <w:rsid w:val="362C0724"/>
    <w:rsid w:val="367A60F6"/>
    <w:rsid w:val="36B129D7"/>
    <w:rsid w:val="37A60A1C"/>
    <w:rsid w:val="38B13162"/>
    <w:rsid w:val="39F72DF7"/>
    <w:rsid w:val="3AED0244"/>
    <w:rsid w:val="3B196D9D"/>
    <w:rsid w:val="3CA90BB5"/>
    <w:rsid w:val="3CF63839"/>
    <w:rsid w:val="3D9646D4"/>
    <w:rsid w:val="3EA11583"/>
    <w:rsid w:val="3EAB2402"/>
    <w:rsid w:val="3ED41958"/>
    <w:rsid w:val="3ED95906"/>
    <w:rsid w:val="3F9B5FD2"/>
    <w:rsid w:val="40452767"/>
    <w:rsid w:val="411E0665"/>
    <w:rsid w:val="413B5CBF"/>
    <w:rsid w:val="4235270E"/>
    <w:rsid w:val="42383FAC"/>
    <w:rsid w:val="43853221"/>
    <w:rsid w:val="43A643FA"/>
    <w:rsid w:val="44663053"/>
    <w:rsid w:val="45D95AA6"/>
    <w:rsid w:val="460743C1"/>
    <w:rsid w:val="46412A2A"/>
    <w:rsid w:val="477C493B"/>
    <w:rsid w:val="47C562E2"/>
    <w:rsid w:val="480D7C89"/>
    <w:rsid w:val="49223F29"/>
    <w:rsid w:val="49A63EF1"/>
    <w:rsid w:val="4A063604"/>
    <w:rsid w:val="4A58168F"/>
    <w:rsid w:val="4CA54934"/>
    <w:rsid w:val="4DB51D17"/>
    <w:rsid w:val="4E5D6ED5"/>
    <w:rsid w:val="4FAE1D52"/>
    <w:rsid w:val="513A2680"/>
    <w:rsid w:val="532B7533"/>
    <w:rsid w:val="546D5D37"/>
    <w:rsid w:val="57805D82"/>
    <w:rsid w:val="58CE0D6F"/>
    <w:rsid w:val="5AFC1BC3"/>
    <w:rsid w:val="5C71038F"/>
    <w:rsid w:val="5CD34BA6"/>
    <w:rsid w:val="5CD52D13"/>
    <w:rsid w:val="5D123920"/>
    <w:rsid w:val="5DA402F0"/>
    <w:rsid w:val="5DCD5A99"/>
    <w:rsid w:val="5E11754B"/>
    <w:rsid w:val="60C767CF"/>
    <w:rsid w:val="60DB04CD"/>
    <w:rsid w:val="611B4D6D"/>
    <w:rsid w:val="61A15272"/>
    <w:rsid w:val="61AE77B2"/>
    <w:rsid w:val="62F15D85"/>
    <w:rsid w:val="6300421A"/>
    <w:rsid w:val="630378F3"/>
    <w:rsid w:val="64992B79"/>
    <w:rsid w:val="64E27BA0"/>
    <w:rsid w:val="659F5F6D"/>
    <w:rsid w:val="66D103A8"/>
    <w:rsid w:val="66E0683D"/>
    <w:rsid w:val="67095D94"/>
    <w:rsid w:val="67801DCE"/>
    <w:rsid w:val="67892A30"/>
    <w:rsid w:val="68120C78"/>
    <w:rsid w:val="68CA50AF"/>
    <w:rsid w:val="6C445178"/>
    <w:rsid w:val="6CA64085"/>
    <w:rsid w:val="6CF22E26"/>
    <w:rsid w:val="6F6D49E6"/>
    <w:rsid w:val="70F2674F"/>
    <w:rsid w:val="712832BA"/>
    <w:rsid w:val="72955527"/>
    <w:rsid w:val="734D7008"/>
    <w:rsid w:val="73816CB2"/>
    <w:rsid w:val="746E4148"/>
    <w:rsid w:val="756248C1"/>
    <w:rsid w:val="75B4336E"/>
    <w:rsid w:val="761A519B"/>
    <w:rsid w:val="77822FF8"/>
    <w:rsid w:val="78C7785D"/>
    <w:rsid w:val="78DF4BA6"/>
    <w:rsid w:val="79A25BD4"/>
    <w:rsid w:val="79FA77BE"/>
    <w:rsid w:val="7A550DC0"/>
    <w:rsid w:val="7A6510DB"/>
    <w:rsid w:val="7A9C0875"/>
    <w:rsid w:val="7C613B24"/>
    <w:rsid w:val="7D256B1B"/>
    <w:rsid w:val="7F0D3AEF"/>
    <w:rsid w:val="7FBE7C98"/>
    <w:rsid w:val="9EAFF938"/>
    <w:rsid w:val="BFEFD669"/>
    <w:rsid w:val="CFFDAE3E"/>
    <w:rsid w:val="EEEBF478"/>
    <w:rsid w:val="F43B0750"/>
    <w:rsid w:val="FBFF59AD"/>
    <w:rsid w:val="FD5C3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4"/>
    <w:basedOn w:val="1"/>
    <w:next w:val="1"/>
    <w:qFormat/>
    <w:uiPriority w:val="9"/>
    <w:pPr>
      <w:keepNext/>
      <w:keepLines/>
      <w:spacing w:before="280" w:after="290" w:line="372" w:lineRule="auto"/>
      <w:outlineLvl w:val="3"/>
    </w:pPr>
    <w:rPr>
      <w:rFonts w:ascii="Cambria" w:hAnsi="Cambria"/>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unhideWhenUsed/>
    <w:qFormat/>
    <w:uiPriority w:val="99"/>
    <w:pPr>
      <w:ind w:firstLine="420"/>
    </w:pPr>
    <w:rPr>
      <w:rFonts w:eastAsia="仿宋_GB2312"/>
      <w:bCs/>
      <w:sz w:val="28"/>
      <w:szCs w:val="28"/>
    </w:rPr>
  </w:style>
  <w:style w:type="paragraph" w:styleId="4">
    <w:name w:val="annotation text"/>
    <w:basedOn w:val="1"/>
    <w:link w:val="22"/>
    <w:qFormat/>
    <w:uiPriority w:val="0"/>
  </w:style>
  <w:style w:type="paragraph" w:styleId="5">
    <w:name w:val="Body Text"/>
    <w:basedOn w:val="1"/>
    <w:next w:val="1"/>
    <w:qFormat/>
    <w:uiPriority w:val="0"/>
    <w:pPr>
      <w:spacing w:after="120" w:line="360" w:lineRule="auto"/>
    </w:pPr>
  </w:style>
  <w:style w:type="paragraph" w:styleId="6">
    <w:name w:val="Body Text Indent"/>
    <w:basedOn w:val="1"/>
    <w:unhideWhenUsed/>
    <w:qFormat/>
    <w:uiPriority w:val="99"/>
    <w:pPr>
      <w:spacing w:before="100" w:beforeAutospacing="1" w:after="100" w:afterAutospacing="1"/>
    </w:pPr>
    <w:rPr>
      <w:rFonts w:hint="eastAsia" w:ascii="宋体" w:hAnsi="宋体"/>
      <w:sz w:val="24"/>
      <w:szCs w:val="24"/>
    </w:rPr>
  </w:style>
  <w:style w:type="paragraph" w:styleId="7">
    <w:name w:val="Plain Text"/>
    <w:basedOn w:val="1"/>
    <w:unhideWhenUsed/>
    <w:qFormat/>
    <w:uiPriority w:val="99"/>
    <w:rPr>
      <w:rFonts w:ascii="宋体" w:hAnsi="Courier New"/>
    </w:rPr>
  </w:style>
  <w:style w:type="paragraph" w:styleId="8">
    <w:name w:val="footer"/>
    <w:basedOn w:val="1"/>
    <w:link w:val="20"/>
    <w:qFormat/>
    <w:uiPriority w:val="99"/>
    <w:pPr>
      <w:tabs>
        <w:tab w:val="center" w:pos="4153"/>
        <w:tab w:val="right" w:pos="8306"/>
      </w:tabs>
    </w:pPr>
    <w:rPr>
      <w:sz w:val="18"/>
      <w:szCs w:val="18"/>
    </w:rPr>
  </w:style>
  <w:style w:type="paragraph" w:styleId="9">
    <w:name w:val="header"/>
    <w:basedOn w:val="1"/>
    <w:link w:val="19"/>
    <w:qFormat/>
    <w:uiPriority w:val="0"/>
    <w:pPr>
      <w:pBdr>
        <w:bottom w:val="single" w:color="auto" w:sz="6" w:space="1"/>
      </w:pBdr>
      <w:tabs>
        <w:tab w:val="center" w:pos="4153"/>
        <w:tab w:val="right" w:pos="8306"/>
      </w:tabs>
      <w:jc w:val="center"/>
    </w:pPr>
    <w:rPr>
      <w:sz w:val="18"/>
      <w:szCs w:val="18"/>
    </w:rPr>
  </w:style>
  <w:style w:type="paragraph" w:styleId="10">
    <w:name w:val="Normal (Web)"/>
    <w:basedOn w:val="1"/>
    <w:qFormat/>
    <w:uiPriority w:val="0"/>
    <w:pPr>
      <w:spacing w:beforeAutospacing="1" w:afterAutospacing="1"/>
    </w:pPr>
    <w:rPr>
      <w:rFonts w:cs="Times New Roman"/>
      <w:sz w:val="24"/>
    </w:rPr>
  </w:style>
  <w:style w:type="paragraph" w:styleId="11">
    <w:name w:val="annotation subject"/>
    <w:basedOn w:val="4"/>
    <w:next w:val="4"/>
    <w:link w:val="23"/>
    <w:qFormat/>
    <w:uiPriority w:val="0"/>
    <w:rPr>
      <w:b/>
      <w:bCs/>
    </w:rPr>
  </w:style>
  <w:style w:type="table" w:styleId="13">
    <w:name w:val="Table Grid"/>
    <w:basedOn w:val="12"/>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qFormat/>
    <w:uiPriority w:val="0"/>
    <w:rPr>
      <w:sz w:val="21"/>
      <w:szCs w:val="21"/>
    </w:rPr>
  </w:style>
  <w:style w:type="paragraph" w:customStyle="1" w:styleId="16">
    <w:name w:val="Body text|2"/>
    <w:basedOn w:val="1"/>
    <w:qFormat/>
    <w:uiPriority w:val="0"/>
    <w:pPr>
      <w:spacing w:line="590" w:lineRule="exact"/>
      <w:ind w:firstLine="580"/>
    </w:pPr>
    <w:rPr>
      <w:rFonts w:hint="eastAsia" w:ascii="宋体" w:hAnsi="宋体"/>
      <w:szCs w:val="24"/>
    </w:rPr>
  </w:style>
  <w:style w:type="table" w:customStyle="1" w:styleId="17">
    <w:name w:val="Table Normal"/>
    <w:semiHidden/>
    <w:unhideWhenUsed/>
    <w:qFormat/>
    <w:uiPriority w:val="0"/>
    <w:tblPr>
      <w:tblCellMar>
        <w:top w:w="0" w:type="dxa"/>
        <w:left w:w="0" w:type="dxa"/>
        <w:bottom w:w="0" w:type="dxa"/>
        <w:right w:w="0" w:type="dxa"/>
      </w:tblCellMar>
    </w:tblPr>
  </w:style>
  <w:style w:type="character" w:customStyle="1" w:styleId="18">
    <w:name w:val="font21"/>
    <w:basedOn w:val="14"/>
    <w:qFormat/>
    <w:uiPriority w:val="0"/>
    <w:rPr>
      <w:rFonts w:hint="eastAsia" w:ascii="宋体" w:hAnsi="宋体" w:eastAsia="宋体" w:cs="宋体"/>
      <w:color w:val="000000"/>
      <w:sz w:val="20"/>
      <w:szCs w:val="20"/>
      <w:u w:val="none"/>
    </w:rPr>
  </w:style>
  <w:style w:type="character" w:customStyle="1" w:styleId="19">
    <w:name w:val="页眉 字符"/>
    <w:basedOn w:val="14"/>
    <w:link w:val="9"/>
    <w:qFormat/>
    <w:uiPriority w:val="0"/>
    <w:rPr>
      <w:rFonts w:ascii="Arial" w:hAnsi="Arial" w:eastAsia="Arial" w:cs="Arial"/>
      <w:snapToGrid w:val="0"/>
      <w:color w:val="000000"/>
      <w:sz w:val="18"/>
      <w:szCs w:val="18"/>
    </w:rPr>
  </w:style>
  <w:style w:type="character" w:customStyle="1" w:styleId="20">
    <w:name w:val="页脚 字符"/>
    <w:basedOn w:val="14"/>
    <w:link w:val="8"/>
    <w:qFormat/>
    <w:uiPriority w:val="99"/>
    <w:rPr>
      <w:rFonts w:ascii="Arial" w:hAnsi="Arial" w:eastAsia="Arial" w:cs="Arial"/>
      <w:snapToGrid w:val="0"/>
      <w:color w:val="000000"/>
      <w:sz w:val="18"/>
      <w:szCs w:val="18"/>
    </w:rPr>
  </w:style>
  <w:style w:type="character" w:customStyle="1" w:styleId="21">
    <w:name w:val="font11"/>
    <w:basedOn w:val="14"/>
    <w:qFormat/>
    <w:uiPriority w:val="0"/>
    <w:rPr>
      <w:rFonts w:hint="eastAsia" w:ascii="宋体" w:hAnsi="宋体" w:eastAsia="宋体" w:cs="宋体"/>
      <w:color w:val="000000"/>
      <w:sz w:val="16"/>
      <w:szCs w:val="16"/>
      <w:u w:val="none"/>
    </w:rPr>
  </w:style>
  <w:style w:type="character" w:customStyle="1" w:styleId="22">
    <w:name w:val="批注文字 字符"/>
    <w:basedOn w:val="14"/>
    <w:link w:val="4"/>
    <w:qFormat/>
    <w:uiPriority w:val="0"/>
    <w:rPr>
      <w:rFonts w:ascii="Arial" w:hAnsi="Arial" w:eastAsia="Arial" w:cs="Arial"/>
      <w:snapToGrid w:val="0"/>
      <w:color w:val="000000"/>
      <w:sz w:val="21"/>
      <w:szCs w:val="21"/>
    </w:rPr>
  </w:style>
  <w:style w:type="character" w:customStyle="1" w:styleId="23">
    <w:name w:val="批注主题 字符"/>
    <w:basedOn w:val="22"/>
    <w:link w:val="11"/>
    <w:qFormat/>
    <w:uiPriority w:val="0"/>
    <w:rPr>
      <w:rFonts w:ascii="Arial" w:hAnsi="Arial" w:eastAsia="Arial" w:cs="Arial"/>
      <w:b/>
      <w:bCs/>
      <w:snapToGrid w:val="0"/>
      <w:color w:val="000000"/>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809</Words>
  <Characters>4616</Characters>
  <Lines>38</Lines>
  <Paragraphs>10</Paragraphs>
  <TotalTime>18</TotalTime>
  <ScaleCrop>false</ScaleCrop>
  <LinksUpToDate>false</LinksUpToDate>
  <CharactersWithSpaces>5415</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2023-03-26T07:27:00Z</dcterms:created>
  <dc:creator>WPS_1599385647</dc:creator>
  <cp:lastModifiedBy>admin</cp:lastModifiedBy>
  <cp:lastPrinted>2024-03-29T10:45:47Z</cp:lastPrinted>
  <dcterms:modified xsi:type="dcterms:W3CDTF">2024-03-29T11:01:51Z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66DF76061E694FB2ABC9FBC48F02A33B_13</vt:lpwstr>
  </property>
</Properties>
</file>