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黑体" w:eastAsia="方正小标宋简体" w:cs="Times New Roman"/>
          <w:snapToGrid/>
          <w:color w:val="auto"/>
          <w:kern w:val="2"/>
          <w:sz w:val="48"/>
          <w:szCs w:val="48"/>
        </w:rPr>
      </w:pPr>
    </w:p>
    <w:p>
      <w:pPr>
        <w:spacing w:line="560" w:lineRule="exact"/>
        <w:jc w:val="center"/>
        <w:rPr>
          <w:rFonts w:ascii="方正小标宋简体" w:hAnsi="黑体" w:eastAsia="方正小标宋简体" w:cs="Times New Roman"/>
          <w:snapToGrid/>
          <w:color w:val="auto"/>
          <w:kern w:val="2"/>
          <w:sz w:val="44"/>
          <w:szCs w:val="44"/>
        </w:rPr>
      </w:pPr>
      <w:r>
        <w:rPr>
          <w:rFonts w:hint="eastAsia" w:ascii="方正小标宋简体" w:hAnsi="黑体" w:eastAsia="方正小标宋简体" w:cs="Times New Roman"/>
          <w:snapToGrid/>
          <w:color w:val="auto"/>
          <w:kern w:val="2"/>
          <w:sz w:val="44"/>
          <w:szCs w:val="44"/>
        </w:rPr>
        <w:t>北京市重大传染病防控经费转移支付项目2023年度绩效自评报告</w:t>
      </w:r>
    </w:p>
    <w:p>
      <w:pPr>
        <w:pStyle w:val="5"/>
        <w:spacing w:line="560" w:lineRule="exact"/>
        <w:ind w:firstLine="440"/>
        <w:rPr>
          <w:sz w:val="22"/>
          <w:szCs w:val="22"/>
        </w:rPr>
      </w:pPr>
    </w:p>
    <w:p>
      <w:pPr>
        <w:pStyle w:val="5"/>
        <w:spacing w:line="5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为了贯彻落实《中共中央 国务院关于全面实施预算绩效管理的意见》《中共北京市委 北京市人民政府关于全面实施预算绩效管理的实施意见》有关精神，加快建成全方位、全过程、全覆盖的预算绩效管理体系，切实增强资金使用单位支出绩效意识，提高中央对地方转移支付资金使用效益，根据</w:t>
      </w:r>
      <w:r>
        <w:rPr>
          <w:rFonts w:hint="eastAsia" w:ascii="仿宋_GB2312" w:hAnsi="仿宋_GB2312" w:eastAsia="仿宋_GB2312" w:cs="仿宋_GB2312"/>
          <w:color w:val="auto"/>
          <w:sz w:val="32"/>
          <w:szCs w:val="32"/>
        </w:rPr>
        <w:t>《财政部关于开展2023年度中央对地方转移支付预算执行情况绩效自评工作的通知》（财监〔2024〕3号）</w:t>
      </w:r>
      <w:r>
        <w:rPr>
          <w:rFonts w:hint="eastAsia" w:ascii="仿宋_GB2312" w:hAnsi="仿宋_GB2312" w:eastAsia="仿宋_GB2312" w:cs="仿宋_GB2312"/>
          <w:sz w:val="32"/>
          <w:szCs w:val="32"/>
        </w:rPr>
        <w:t>文件要求，北京市卫生健康委员会组织各区卫生健康委员会和相关资金使用单位开展了北京市重大传染病防控经费转移支付的绩效自评工作，形成绩效自评报告。</w:t>
      </w:r>
    </w:p>
    <w:p>
      <w:pPr>
        <w:spacing w:line="580" w:lineRule="exact"/>
        <w:ind w:firstLine="640" w:firstLineChars="200"/>
        <w:jc w:val="both"/>
        <w:outlineLvl w:val="0"/>
        <w:rPr>
          <w:rFonts w:ascii="黑体" w:hAnsi="宋体" w:eastAsia="黑体" w:cs="黑体"/>
          <w:bCs/>
          <w:sz w:val="32"/>
          <w:szCs w:val="32"/>
        </w:rPr>
      </w:pPr>
      <w:bookmarkStart w:id="0" w:name="_Toc1146578714_WPSOffice_Level1"/>
      <w:r>
        <w:rPr>
          <w:rFonts w:hint="eastAsia" w:ascii="黑体" w:hAnsi="宋体" w:eastAsia="黑体" w:cs="黑体"/>
          <w:bCs/>
          <w:sz w:val="32"/>
          <w:szCs w:val="32"/>
        </w:rPr>
        <w:t>一、绩效目标分解下达情况</w:t>
      </w:r>
      <w:bookmarkEnd w:id="0"/>
    </w:p>
    <w:p>
      <w:pPr>
        <w:pStyle w:val="5"/>
        <w:spacing w:line="580" w:lineRule="exact"/>
        <w:ind w:firstLine="640" w:firstLineChars="200"/>
        <w:jc w:val="both"/>
        <w:rPr>
          <w:rFonts w:ascii="楷体_GB2312" w:hAnsi="楷体_GB2312" w:eastAsia="楷体_GB2312" w:cs="楷体_GB2312"/>
          <w:bCs/>
          <w:kern w:val="2"/>
          <w:sz w:val="32"/>
          <w:szCs w:val="32"/>
        </w:rPr>
      </w:pPr>
      <w:bookmarkStart w:id="1" w:name="_Toc1177681667_WPSOffice_Level2"/>
      <w:r>
        <w:rPr>
          <w:rFonts w:hint="eastAsia" w:ascii="楷体_GB2312" w:hAnsi="楷体_GB2312" w:eastAsia="楷体_GB2312" w:cs="楷体_GB2312"/>
          <w:bCs/>
          <w:kern w:val="2"/>
          <w:sz w:val="32"/>
          <w:szCs w:val="32"/>
        </w:rPr>
        <w:t>（一）</w:t>
      </w:r>
      <w:bookmarkEnd w:id="1"/>
      <w:r>
        <w:rPr>
          <w:rFonts w:hint="eastAsia" w:ascii="楷体_GB2312" w:hAnsi="楷体_GB2312" w:eastAsia="楷体_GB2312" w:cs="楷体_GB2312"/>
          <w:bCs/>
          <w:kern w:val="2"/>
          <w:sz w:val="32"/>
          <w:szCs w:val="32"/>
        </w:rPr>
        <w:t>2023年度转移支付资金下达情况</w:t>
      </w:r>
    </w:p>
    <w:p>
      <w:pPr>
        <w:pStyle w:val="5"/>
        <w:spacing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2023年北京市重大传染病防控经费转移支付项目补助资金共计40,942万元，分两次下达：根据《财政部 国家卫生健康委 国家疾控局关于提前下达2023年重大传染病防控经费预算的通知》（财社〔2022〕137号）文件，提前下达北京市重大传染病防控经费转移支付28,646万元；根据《财政部 国家卫生健康委 国家疾控局关于下达2023年重大传染病防控经费预算的通知》（财社〔2023〕63号）文件，下达资金12,296万元。</w:t>
      </w:r>
    </w:p>
    <w:p>
      <w:pPr>
        <w:pStyle w:val="5"/>
        <w:spacing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北京市财政局根据北京市卫生健康委员会的资金分配方案，结合资金额度情况，分批次下达</w:t>
      </w:r>
      <w:r>
        <w:rPr>
          <w:rFonts w:hint="eastAsia" w:ascii="仿宋_GB2312" w:hAnsi="仿宋" w:eastAsia="仿宋_GB2312"/>
          <w:color w:val="auto"/>
          <w:sz w:val="32"/>
          <w:szCs w:val="32"/>
        </w:rPr>
        <w:t>55家</w:t>
      </w:r>
      <w:r>
        <w:rPr>
          <w:rFonts w:hint="eastAsia" w:ascii="仿宋_GB2312" w:hAnsi="仿宋" w:eastAsia="仿宋_GB2312"/>
          <w:sz w:val="32"/>
          <w:szCs w:val="32"/>
        </w:rPr>
        <w:t>单位北京市重大传染病防控经费转移支付共计40,942万元，市级层面未配套资金，各区财政局根据其财力情况确定是否配套资金。</w:t>
      </w:r>
    </w:p>
    <w:p>
      <w:pPr>
        <w:pStyle w:val="5"/>
        <w:spacing w:line="580" w:lineRule="exact"/>
        <w:ind w:firstLine="640" w:firstLineChars="200"/>
        <w:jc w:val="both"/>
        <w:rPr>
          <w:rFonts w:ascii="楷体_GB2312" w:hAnsi="楷体_GB2312" w:eastAsia="楷体_GB2312" w:cs="楷体_GB2312"/>
          <w:bCs/>
          <w:kern w:val="2"/>
          <w:sz w:val="32"/>
          <w:szCs w:val="32"/>
        </w:rPr>
      </w:pPr>
      <w:r>
        <w:rPr>
          <w:rFonts w:hint="eastAsia" w:ascii="楷体_GB2312" w:hAnsi="楷体_GB2312" w:eastAsia="楷体_GB2312" w:cs="楷体_GB2312"/>
          <w:bCs/>
          <w:kern w:val="2"/>
          <w:sz w:val="32"/>
          <w:szCs w:val="32"/>
        </w:rPr>
        <w:t>（二）2023年度转移支付资金分配情况</w:t>
      </w:r>
    </w:p>
    <w:p>
      <w:pPr>
        <w:pStyle w:val="3"/>
        <w:widowControl w:val="0"/>
        <w:kinsoku/>
        <w:autoSpaceDE/>
        <w:autoSpaceDN/>
        <w:adjustRightInd/>
        <w:snapToGrid/>
        <w:spacing w:after="0" w:line="240" w:lineRule="auto"/>
        <w:jc w:val="both"/>
        <w:textAlignment w:val="auto"/>
        <w:rPr>
          <w:rFonts w:hint="eastAsia" w:ascii="仿宋_GB2312" w:hAnsi="仿宋_GB2312" w:eastAsia="仿宋_GB2312" w:cs="仿宋_GB2312"/>
          <w:snapToGrid/>
          <w:kern w:val="2"/>
          <w:sz w:val="24"/>
          <w:szCs w:val="24"/>
          <w:lang w:val="en-US" w:eastAsia="zh-CN"/>
        </w:rPr>
      </w:pPr>
      <w:r>
        <w:rPr>
          <w:rFonts w:hint="eastAsia" w:ascii="仿宋_GB2312" w:hAnsi="仿宋" w:eastAsia="仿宋_GB2312"/>
          <w:sz w:val="32"/>
          <w:szCs w:val="32"/>
        </w:rPr>
        <w:t>北京市重大传染病防控经费转移支付项目涉及包括东城区卫生健康委员会、西城区卫生健康委员会、朝阳区卫生健康委员会、海淀区卫生健康委员会、丰台区卫生健康委员会、石景山区卫生健康委员会、门头沟区卫生健康委员会、房山区卫生健康委员会、通州区卫生健康委员会、顺义区卫生健康委员会、大兴区卫生健康委员会、昌平区卫生健康委员会、平谷区卫生健康委员会、怀柔区卫生健康委员会、密云区卫生健康委员会、延庆区卫生健康委员会共</w:t>
      </w:r>
      <w:r>
        <w:rPr>
          <w:rFonts w:ascii="仿宋_GB2312" w:hAnsi="仿宋" w:eastAsia="仿宋_GB2312"/>
          <w:sz w:val="32"/>
          <w:szCs w:val="32"/>
        </w:rPr>
        <w:t>16</w:t>
      </w:r>
      <w:r>
        <w:rPr>
          <w:rFonts w:hint="eastAsia" w:ascii="仿宋_GB2312" w:hAnsi="仿宋" w:eastAsia="仿宋_GB2312"/>
          <w:sz w:val="32"/>
          <w:szCs w:val="32"/>
        </w:rPr>
        <w:t>个区卫生健康委员会，北京市卫生健康委员会机关、北京妇幼保健院、北京市疾病预防控制中心、北京市红十字血液中心和北京市精神卫生保健所，以及首都医科大学宣武医院、首都医科大学附属北京天坛医院、首都医科大学附属北京安贞医院、首都医科大学附属北京儿童医院、首都医科大学附属北京安定医院、北京回龙观医院、首都医科大学附属北京地坛医院、首都医科大学附属北京佑安医院、首都医科大学附属北京胸科医院、北京肿瘤医院在内的10家市属医院，与北京市中医药管理局、中华人民共和国北京海关等资金使用单位，资金预算共50,365.55万元，实际到位资金</w:t>
      </w:r>
      <w:r>
        <w:rPr>
          <w:rFonts w:ascii="仿宋_GB2312" w:hAnsi="仿宋" w:eastAsia="仿宋_GB2312"/>
          <w:sz w:val="32"/>
          <w:szCs w:val="32"/>
        </w:rPr>
        <w:t>50</w:t>
      </w:r>
      <w:r>
        <w:rPr>
          <w:rFonts w:hint="eastAsia" w:ascii="仿宋_GB2312" w:hAnsi="仿宋" w:eastAsia="仿宋_GB2312"/>
          <w:sz w:val="32"/>
          <w:szCs w:val="32"/>
        </w:rPr>
        <w:t>,</w:t>
      </w:r>
      <w:r>
        <w:rPr>
          <w:rFonts w:ascii="仿宋_GB2312" w:hAnsi="仿宋" w:eastAsia="仿宋_GB2312"/>
          <w:sz w:val="32"/>
          <w:szCs w:val="32"/>
        </w:rPr>
        <w:t>365.5</w:t>
      </w:r>
      <w:r>
        <w:rPr>
          <w:rFonts w:hint="eastAsia" w:ascii="仿宋_GB2312" w:hAnsi="仿宋" w:eastAsia="仿宋_GB2312"/>
          <w:sz w:val="32"/>
          <w:szCs w:val="32"/>
        </w:rPr>
        <w:t>5万元，其中中央财政资金40,942万元、地方资金1,738.6万元</w:t>
      </w:r>
      <w:r>
        <w:rPr>
          <w:rFonts w:ascii="仿宋_GB2312" w:hAnsi="仿宋" w:eastAsia="仿宋_GB2312"/>
          <w:sz w:val="32"/>
          <w:szCs w:val="32"/>
        </w:rPr>
        <w:t>、</w:t>
      </w:r>
      <w:r>
        <w:rPr>
          <w:rFonts w:hint="eastAsia" w:ascii="仿宋_GB2312" w:hAnsi="仿宋" w:eastAsia="仿宋_GB2312"/>
          <w:sz w:val="32"/>
          <w:szCs w:val="32"/>
        </w:rPr>
        <w:t>其他资金7,684.95万元。</w:t>
      </w:r>
      <w:bookmarkStart w:id="2" w:name="_Toc2086486517_WPSOffice_Level2"/>
    </w:p>
    <w:p>
      <w:pPr>
        <w:pStyle w:val="5"/>
        <w:spacing w:line="560" w:lineRule="exact"/>
        <w:ind w:firstLine="640" w:firstLineChars="200"/>
        <w:rPr>
          <w:rFonts w:ascii="楷体_GB2312" w:hAnsi="楷体_GB2312" w:eastAsia="楷体_GB2312" w:cs="楷体_GB2312"/>
          <w:bCs/>
          <w:kern w:val="2"/>
          <w:sz w:val="32"/>
          <w:szCs w:val="32"/>
        </w:rPr>
      </w:pPr>
      <w:r>
        <w:rPr>
          <w:rFonts w:hint="eastAsia" w:ascii="楷体_GB2312" w:hAnsi="楷体_GB2312" w:eastAsia="楷体_GB2312" w:cs="楷体_GB2312"/>
          <w:bCs/>
          <w:kern w:val="2"/>
          <w:sz w:val="32"/>
          <w:szCs w:val="32"/>
        </w:rPr>
        <w:t>（三）转移支付资金</w:t>
      </w:r>
      <w:r>
        <w:rPr>
          <w:rFonts w:hint="eastAsia" w:ascii="楷体_GB2312" w:hAnsi="楷体_GB2312" w:eastAsia="楷体_GB2312" w:cs="楷体_GB2312"/>
          <w:bCs/>
          <w:kern w:val="2"/>
          <w:sz w:val="32"/>
          <w:szCs w:val="32"/>
          <w:lang w:val="en-US" w:eastAsia="zh-CN"/>
        </w:rPr>
        <w:t>项目</w:t>
      </w:r>
      <w:r>
        <w:rPr>
          <w:rFonts w:hint="eastAsia" w:ascii="楷体_GB2312" w:hAnsi="楷体_GB2312" w:eastAsia="楷体_GB2312" w:cs="楷体_GB2312"/>
          <w:bCs/>
          <w:kern w:val="2"/>
          <w:sz w:val="32"/>
          <w:szCs w:val="32"/>
        </w:rPr>
        <w:t>任务情况</w:t>
      </w:r>
      <w:bookmarkEnd w:id="2"/>
    </w:p>
    <w:p>
      <w:pPr>
        <w:spacing w:line="580" w:lineRule="exact"/>
        <w:ind w:firstLine="640" w:firstLineChars="200"/>
        <w:outlineLvl w:val="1"/>
        <w:rPr>
          <w:rFonts w:ascii="仿宋_GB2312" w:hAnsi="仿宋" w:eastAsia="仿宋_GB2312"/>
          <w:sz w:val="32"/>
          <w:szCs w:val="32"/>
        </w:rPr>
      </w:pPr>
      <w:r>
        <w:rPr>
          <w:rFonts w:hint="eastAsia" w:ascii="仿宋" w:hAnsi="仿宋" w:eastAsia="仿宋" w:cs="仿宋"/>
          <w:sz w:val="32"/>
          <w:szCs w:val="32"/>
        </w:rPr>
        <w:t>根据</w:t>
      </w:r>
      <w:r>
        <w:rPr>
          <w:rFonts w:hint="eastAsia" w:ascii="仿宋_GB2312" w:hAnsi="仿宋" w:eastAsia="仿宋_GB2312"/>
          <w:sz w:val="32"/>
          <w:szCs w:val="32"/>
        </w:rPr>
        <w:t>《财政部 国家卫生健康委 国家疾控局关于提前下达2023年重大传染病防控经费预算的通知》（财社〔2022〕137号）、《财政部 国家卫生健康委 国家疾控局关于下达2023年重大传染病防控经费预算的通知》（财社〔2023〕63号）文件</w:t>
      </w:r>
      <w:r>
        <w:rPr>
          <w:rFonts w:ascii="仿宋_GB2312" w:hAnsi="仿宋" w:eastAsia="仿宋_GB2312"/>
          <w:sz w:val="32"/>
          <w:szCs w:val="32"/>
        </w:rPr>
        <w:t>，</w:t>
      </w:r>
      <w:r>
        <w:rPr>
          <w:rFonts w:hint="eastAsia" w:ascii="仿宋_GB2312" w:hAnsi="仿宋" w:eastAsia="仿宋_GB2312"/>
          <w:sz w:val="32"/>
          <w:szCs w:val="32"/>
        </w:rPr>
        <w:t>财政部和国家卫生健康委共同下达北京市重大传染病防控经费转移支付项目资金总体任务</w:t>
      </w:r>
      <w:r>
        <w:rPr>
          <w:rFonts w:hint="eastAsia" w:ascii="仿宋_GB2312" w:hAnsi="等线" w:eastAsia="仿宋_GB2312"/>
          <w:sz w:val="32"/>
          <w:szCs w:val="32"/>
        </w:rPr>
        <w:t>目标，</w:t>
      </w:r>
      <w:r>
        <w:rPr>
          <w:rFonts w:hint="eastAsia" w:ascii="仿宋_GB2312" w:hAnsi="仿宋_GB2312" w:eastAsia="仿宋_GB2312" w:cs="仿宋_GB2312"/>
          <w:sz w:val="32"/>
          <w:szCs w:val="32"/>
        </w:rPr>
        <w:t>市卫生健康委</w:t>
      </w:r>
      <w:r>
        <w:rPr>
          <w:rFonts w:hint="eastAsia" w:ascii="仿宋_GB2312" w:hAnsi="等线" w:eastAsia="仿宋_GB2312"/>
          <w:sz w:val="32"/>
          <w:szCs w:val="32"/>
        </w:rPr>
        <w:t>根据实际情况将年度绩效目标进行科学细化，本项目绩效目标共31个，包括个29产出目标，1个效益指标，1个满意度指标</w:t>
      </w:r>
      <w:r>
        <w:rPr>
          <w:rFonts w:hint="eastAsia" w:ascii="仿宋_GB2312" w:hAnsi="仿宋" w:eastAsia="仿宋_GB2312"/>
          <w:sz w:val="32"/>
          <w:szCs w:val="32"/>
        </w:rPr>
        <w:t>。</w:t>
      </w:r>
    </w:p>
    <w:p>
      <w:pPr>
        <w:spacing w:line="580" w:lineRule="exact"/>
        <w:ind w:firstLine="576" w:firstLineChars="200"/>
        <w:outlineLvl w:val="1"/>
        <w:rPr>
          <w:rFonts w:ascii="黑体" w:hAnsi="黑体" w:eastAsia="黑体" w:cs="黑体"/>
          <w:sz w:val="30"/>
          <w:szCs w:val="30"/>
        </w:rPr>
      </w:pPr>
      <w:r>
        <w:rPr>
          <w:rFonts w:ascii="黑体" w:hAnsi="黑体" w:eastAsia="黑体" w:cs="黑体"/>
          <w:bCs/>
          <w:spacing w:val="-6"/>
          <w:sz w:val="30"/>
          <w:szCs w:val="30"/>
        </w:rPr>
        <w:t>二、</w:t>
      </w:r>
      <w:r>
        <w:rPr>
          <w:rFonts w:ascii="黑体" w:hAnsi="黑体" w:eastAsia="黑体" w:cs="黑体"/>
          <w:spacing w:val="-54"/>
          <w:sz w:val="30"/>
          <w:szCs w:val="30"/>
        </w:rPr>
        <w:t xml:space="preserve"> </w:t>
      </w:r>
      <w:r>
        <w:rPr>
          <w:rFonts w:ascii="黑体" w:hAnsi="黑体" w:eastAsia="黑体" w:cs="黑体"/>
          <w:bCs/>
          <w:spacing w:val="-6"/>
          <w:sz w:val="30"/>
          <w:szCs w:val="30"/>
        </w:rPr>
        <w:t>绩效情况分析</w:t>
      </w:r>
    </w:p>
    <w:p>
      <w:pPr>
        <w:pStyle w:val="5"/>
        <w:spacing w:line="580" w:lineRule="exact"/>
        <w:ind w:firstLine="600" w:firstLineChars="200"/>
        <w:rPr>
          <w:rFonts w:ascii="楷体_GB2312" w:hAnsi="楷体_GB2312" w:eastAsia="楷体_GB2312" w:cs="楷体_GB2312"/>
          <w:bCs/>
          <w:kern w:val="2"/>
          <w:sz w:val="30"/>
          <w:szCs w:val="30"/>
        </w:rPr>
      </w:pPr>
      <w:r>
        <w:rPr>
          <w:rFonts w:hint="eastAsia" w:ascii="楷体_GB2312" w:hAnsi="楷体_GB2312" w:eastAsia="楷体_GB2312" w:cs="楷体_GB2312"/>
          <w:bCs/>
          <w:kern w:val="2"/>
          <w:sz w:val="30"/>
          <w:szCs w:val="30"/>
        </w:rPr>
        <w:t>（一）资金投入情况分析</w:t>
      </w:r>
    </w:p>
    <w:p>
      <w:pPr>
        <w:pStyle w:val="5"/>
        <w:spacing w:line="580" w:lineRule="exact"/>
        <w:ind w:firstLine="640" w:firstLineChars="200"/>
        <w:jc w:val="both"/>
        <w:rPr>
          <w:rFonts w:hint="eastAsia" w:ascii="仿宋_GB2312" w:hAnsi="仿宋" w:eastAsia="仿宋_GB2312"/>
          <w:sz w:val="32"/>
          <w:szCs w:val="32"/>
          <w:lang w:val="en-US" w:eastAsia="zh-CN"/>
        </w:rPr>
      </w:pPr>
      <w:r>
        <w:rPr>
          <w:rFonts w:hint="eastAsia" w:ascii="仿宋_GB2312" w:hAnsi="仿宋" w:eastAsia="仿宋_GB2312" w:cs="仿宋_GB2312"/>
          <w:sz w:val="32"/>
          <w:szCs w:val="32"/>
        </w:rPr>
        <w:t>北京市重大传染病防控经费转移支付项目资金</w:t>
      </w:r>
      <w:r>
        <w:rPr>
          <w:rFonts w:hint="eastAsia" w:ascii="仿宋_GB2312" w:hAnsi="仿宋" w:eastAsia="仿宋_GB2312"/>
          <w:sz w:val="32"/>
          <w:szCs w:val="32"/>
        </w:rPr>
        <w:t>预算共计</w:t>
      </w:r>
      <w:r>
        <w:rPr>
          <w:rFonts w:ascii="仿宋_GB2312" w:hAnsi="仿宋" w:eastAsia="仿宋_GB2312"/>
          <w:sz w:val="32"/>
          <w:szCs w:val="32"/>
        </w:rPr>
        <w:t>50</w:t>
      </w:r>
      <w:r>
        <w:rPr>
          <w:rFonts w:hint="eastAsia" w:ascii="仿宋_GB2312" w:hAnsi="仿宋" w:eastAsia="仿宋_GB2312"/>
          <w:sz w:val="32"/>
          <w:szCs w:val="32"/>
        </w:rPr>
        <w:t>,</w:t>
      </w:r>
      <w:r>
        <w:rPr>
          <w:rFonts w:ascii="仿宋_GB2312" w:hAnsi="仿宋" w:eastAsia="仿宋_GB2312"/>
          <w:sz w:val="32"/>
          <w:szCs w:val="32"/>
        </w:rPr>
        <w:t>365.5</w:t>
      </w:r>
      <w:r>
        <w:rPr>
          <w:rFonts w:hint="eastAsia" w:ascii="仿宋_GB2312" w:hAnsi="仿宋" w:eastAsia="仿宋_GB2312"/>
          <w:sz w:val="32"/>
          <w:szCs w:val="32"/>
        </w:rPr>
        <w:t>5万元，截至2023年</w:t>
      </w:r>
      <w:r>
        <w:rPr>
          <w:rFonts w:ascii="仿宋_GB2312" w:hAnsi="仿宋" w:eastAsia="仿宋_GB2312"/>
          <w:sz w:val="32"/>
          <w:szCs w:val="32"/>
        </w:rPr>
        <w:t>12</w:t>
      </w:r>
      <w:r>
        <w:rPr>
          <w:rFonts w:hint="eastAsia" w:ascii="仿宋_GB2312" w:hAnsi="仿宋" w:eastAsia="仿宋_GB2312"/>
          <w:sz w:val="32"/>
          <w:szCs w:val="32"/>
        </w:rPr>
        <w:t>月31日，实际支出29,114.96万元，资金执行率为57.81%。其中</w:t>
      </w:r>
      <w:r>
        <w:rPr>
          <w:rFonts w:ascii="仿宋_GB2312" w:hAnsi="仿宋" w:eastAsia="仿宋_GB2312"/>
          <w:sz w:val="32"/>
          <w:szCs w:val="32"/>
        </w:rPr>
        <w:t>：</w:t>
      </w:r>
      <w:r>
        <w:rPr>
          <w:rFonts w:hint="eastAsia" w:ascii="仿宋_GB2312" w:hAnsi="仿宋" w:eastAsia="仿宋_GB2312"/>
          <w:sz w:val="32"/>
          <w:szCs w:val="32"/>
        </w:rPr>
        <w:t>中央财政资金预算40,942万元</w:t>
      </w:r>
      <w:r>
        <w:rPr>
          <w:rFonts w:ascii="仿宋_GB2312" w:hAnsi="仿宋" w:eastAsia="仿宋_GB2312"/>
          <w:sz w:val="32"/>
          <w:szCs w:val="32"/>
        </w:rPr>
        <w:t>，</w:t>
      </w:r>
      <w:r>
        <w:rPr>
          <w:rFonts w:hint="eastAsia" w:ascii="仿宋_GB2312" w:hAnsi="仿宋" w:eastAsia="仿宋_GB2312"/>
          <w:sz w:val="32"/>
          <w:szCs w:val="32"/>
        </w:rPr>
        <w:t>实际支出1,734.57万元</w:t>
      </w:r>
      <w:r>
        <w:rPr>
          <w:rFonts w:ascii="仿宋_GB2312" w:hAnsi="仿宋" w:eastAsia="仿宋_GB2312"/>
          <w:sz w:val="32"/>
          <w:szCs w:val="32"/>
        </w:rPr>
        <w:t>，</w:t>
      </w:r>
      <w:r>
        <w:rPr>
          <w:rFonts w:hint="eastAsia" w:ascii="仿宋_GB2312" w:hAnsi="仿宋" w:eastAsia="仿宋_GB2312"/>
          <w:sz w:val="32"/>
          <w:szCs w:val="32"/>
        </w:rPr>
        <w:t>资金执行率为48.78%</w:t>
      </w:r>
      <w:r>
        <w:rPr>
          <w:rFonts w:ascii="仿宋_GB2312" w:hAnsi="仿宋" w:eastAsia="仿宋_GB2312"/>
          <w:sz w:val="32"/>
          <w:szCs w:val="32"/>
        </w:rPr>
        <w:t>；</w:t>
      </w:r>
      <w:r>
        <w:rPr>
          <w:rFonts w:hint="eastAsia" w:ascii="仿宋_GB2312" w:hAnsi="仿宋" w:eastAsia="仿宋_GB2312"/>
          <w:sz w:val="32"/>
          <w:szCs w:val="32"/>
        </w:rPr>
        <w:t>地方资金预算1,738.6万元</w:t>
      </w:r>
      <w:r>
        <w:rPr>
          <w:rFonts w:ascii="仿宋_GB2312" w:hAnsi="仿宋" w:eastAsia="仿宋_GB2312"/>
          <w:sz w:val="32"/>
          <w:szCs w:val="32"/>
        </w:rPr>
        <w:t>，</w:t>
      </w:r>
      <w:r>
        <w:rPr>
          <w:rFonts w:hint="eastAsia" w:ascii="仿宋_GB2312" w:hAnsi="仿宋" w:eastAsia="仿宋_GB2312"/>
          <w:sz w:val="32"/>
          <w:szCs w:val="32"/>
        </w:rPr>
        <w:t>实际支出1,734.57万元</w:t>
      </w:r>
      <w:r>
        <w:rPr>
          <w:rFonts w:ascii="仿宋_GB2312" w:hAnsi="仿宋" w:eastAsia="仿宋_GB2312"/>
          <w:sz w:val="32"/>
          <w:szCs w:val="32"/>
        </w:rPr>
        <w:t>，</w:t>
      </w:r>
      <w:r>
        <w:rPr>
          <w:rFonts w:hint="eastAsia" w:ascii="仿宋_GB2312" w:hAnsi="仿宋" w:eastAsia="仿宋_GB2312"/>
          <w:sz w:val="32"/>
          <w:szCs w:val="32"/>
        </w:rPr>
        <w:t>资金执行率为99.77</w:t>
      </w:r>
      <w:r>
        <w:rPr>
          <w:rFonts w:ascii="仿宋_GB2312" w:hAnsi="仿宋" w:eastAsia="仿宋_GB2312"/>
          <w:sz w:val="32"/>
          <w:szCs w:val="32"/>
        </w:rPr>
        <w:t>%；</w:t>
      </w:r>
      <w:r>
        <w:rPr>
          <w:rFonts w:hint="eastAsia" w:ascii="仿宋_GB2312" w:hAnsi="仿宋" w:eastAsia="仿宋_GB2312"/>
          <w:sz w:val="32"/>
          <w:szCs w:val="32"/>
        </w:rPr>
        <w:t>其他资金预算7,684.95万元</w:t>
      </w:r>
      <w:r>
        <w:rPr>
          <w:rFonts w:ascii="仿宋_GB2312" w:hAnsi="仿宋" w:eastAsia="仿宋_GB2312"/>
          <w:sz w:val="32"/>
          <w:szCs w:val="32"/>
        </w:rPr>
        <w:t>，</w:t>
      </w:r>
      <w:r>
        <w:rPr>
          <w:rFonts w:hint="eastAsia" w:ascii="仿宋_GB2312" w:hAnsi="仿宋" w:eastAsia="仿宋_GB2312"/>
          <w:sz w:val="32"/>
          <w:szCs w:val="32"/>
        </w:rPr>
        <w:t>实际支出7,407.72万元</w:t>
      </w:r>
      <w:r>
        <w:rPr>
          <w:rFonts w:ascii="仿宋_GB2312" w:hAnsi="仿宋" w:eastAsia="仿宋_GB2312"/>
          <w:sz w:val="32"/>
          <w:szCs w:val="32"/>
        </w:rPr>
        <w:t>，</w:t>
      </w:r>
      <w:r>
        <w:rPr>
          <w:rFonts w:hint="eastAsia" w:ascii="仿宋_GB2312" w:hAnsi="仿宋" w:eastAsia="仿宋_GB2312"/>
          <w:sz w:val="32"/>
          <w:szCs w:val="32"/>
        </w:rPr>
        <w:t>资金执行率为96.39</w:t>
      </w:r>
      <w:r>
        <w:rPr>
          <w:rFonts w:ascii="仿宋_GB2312" w:hAnsi="仿宋" w:eastAsia="仿宋_GB2312"/>
          <w:sz w:val="32"/>
          <w:szCs w:val="32"/>
        </w:rPr>
        <w:t>%。</w:t>
      </w:r>
    </w:p>
    <w:p>
      <w:pPr>
        <w:pStyle w:val="5"/>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textAlignment w:val="baseline"/>
        <w:outlineLvl w:val="1"/>
        <w:rPr>
          <w:rFonts w:ascii="仿宋_GB2312" w:hAnsi="仿宋_GB2312" w:eastAsia="仿宋_GB2312" w:cs="仿宋_GB2312"/>
          <w:bCs/>
          <w:spacing w:val="3"/>
          <w:position w:val="20"/>
          <w:sz w:val="32"/>
          <w:szCs w:val="32"/>
        </w:rPr>
      </w:pPr>
      <w:r>
        <w:rPr>
          <w:rFonts w:hint="eastAsia" w:ascii="楷体" w:hAnsi="楷体" w:eastAsia="楷体" w:cs="楷体"/>
          <w:bCs/>
          <w:kern w:val="2"/>
          <w:sz w:val="32"/>
          <w:szCs w:val="32"/>
        </w:rPr>
        <w:t>（二）资金管理情况分析</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1.资金分配科学性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北京市卫生健康委员会根据《财政部 国家卫生健康委 国家疾控局关于提前下达2023年重大传染病防控经费预算的通知》（财社〔2022〕137号）、</w:t>
      </w:r>
      <w:r>
        <w:rPr>
          <w:rFonts w:hint="eastAsia" w:ascii="仿宋_GB2312" w:hAnsi="仿宋" w:eastAsia="仿宋_GB2312"/>
          <w:sz w:val="32"/>
          <w:szCs w:val="32"/>
        </w:rPr>
        <w:t>《财政部 国家卫生健康委 国家疾控局关于下达2023年重大传染病防控经费预算的通知》（财社〔2023〕63号）</w:t>
      </w:r>
      <w:r>
        <w:rPr>
          <w:rFonts w:hint="eastAsia" w:ascii="仿宋_GB2312" w:hAnsi="楷体" w:eastAsia="仿宋_GB2312" w:cs="仿宋_GB2312"/>
          <w:bCs/>
          <w:sz w:val="32"/>
          <w:szCs w:val="32"/>
        </w:rPr>
        <w:t>文件要求，结合北京市实际情况，制定了《北京市卫生健康委员会关于印发2023年自然疫源性疾病及手足口病防治等中央转移支付项目工作方案的通知》（京卫疾控〔2023〕13号）、《北京市卫生健康委员会关于印发</w:t>
      </w:r>
      <w:r>
        <w:rPr>
          <w:rFonts w:ascii="仿宋_GB2312" w:hAnsi="楷体" w:eastAsia="仿宋_GB2312" w:cs="仿宋_GB2312"/>
          <w:bCs/>
          <w:sz w:val="32"/>
          <w:szCs w:val="32"/>
        </w:rPr>
        <w:t>2023</w:t>
      </w:r>
      <w:r>
        <w:rPr>
          <w:rFonts w:hint="eastAsia" w:ascii="仿宋_GB2312" w:hAnsi="楷体" w:eastAsia="仿宋_GB2312" w:cs="仿宋_GB2312"/>
          <w:bCs/>
          <w:sz w:val="32"/>
          <w:szCs w:val="32"/>
        </w:rPr>
        <w:t>年中央财政转移支付地方精神卫生、农村癫痫、结核病和艾滋病防治项目北京市实施方案的通知》（京卫疾控〔2023〕46号）、《北京市卫生健康委员会关于印发</w:t>
      </w:r>
      <w:r>
        <w:rPr>
          <w:rFonts w:ascii="仿宋_GB2312" w:hAnsi="楷体" w:eastAsia="仿宋_GB2312" w:cs="仿宋_GB2312"/>
          <w:bCs/>
          <w:sz w:val="32"/>
          <w:szCs w:val="32"/>
        </w:rPr>
        <w:t>2023</w:t>
      </w:r>
      <w:r>
        <w:rPr>
          <w:rFonts w:hint="eastAsia" w:ascii="仿宋_GB2312" w:hAnsi="楷体" w:eastAsia="仿宋_GB2312" w:cs="仿宋_GB2312"/>
          <w:bCs/>
          <w:sz w:val="32"/>
          <w:szCs w:val="32"/>
        </w:rPr>
        <w:t>年中央转移支付慢性非传染性疾病防治及伤害监测项目工作方案的通知》（京卫疾控〔2023〕56号）、《北京市卫生健康委员会关于印发传染病监测预警与应急指挥能力提升等中央转移支付项目工作方案的通知》（京卫疾控〔2023〕60号）、《北京市卫生健康委员会关于印发2023年新型冠状病毒感染监测中央转移支付项目工作方案的通知》等文件，明确了各项目工作的目标、任务、落实要求及项目资金情况。</w:t>
      </w:r>
    </w:p>
    <w:p>
      <w:pPr>
        <w:pStyle w:val="3"/>
        <w:spacing w:after="0" w:line="580" w:lineRule="exact"/>
        <w:ind w:firstLine="640" w:firstLineChars="200"/>
        <w:jc w:val="both"/>
        <w:rPr>
          <w:rFonts w:ascii="仿宋_GB2312" w:hAnsi="仿宋" w:eastAsia="仿宋_GB2312"/>
          <w:color w:val="auto"/>
          <w:sz w:val="32"/>
          <w:szCs w:val="32"/>
        </w:rPr>
      </w:pPr>
      <w:r>
        <w:rPr>
          <w:rFonts w:hint="eastAsia" w:ascii="仿宋_GB2312" w:hAnsi="仿宋" w:eastAsia="仿宋_GB2312"/>
          <w:color w:val="auto"/>
          <w:sz w:val="32"/>
          <w:szCs w:val="32"/>
        </w:rPr>
        <w:t>各区卫生健康委员会根据</w:t>
      </w:r>
      <w:r>
        <w:rPr>
          <w:rFonts w:hint="eastAsia" w:ascii="仿宋_GB2312" w:hAnsi="楷体" w:eastAsia="仿宋_GB2312" w:cs="仿宋_GB2312"/>
          <w:bCs/>
          <w:sz w:val="32"/>
          <w:szCs w:val="32"/>
        </w:rPr>
        <w:t>《财政部 国家卫生健康委 国家疾控局关于提前下达2023年重大传染病防控经费预算的通知》（财社〔2022〕137号）</w:t>
      </w:r>
      <w:r>
        <w:rPr>
          <w:rFonts w:hint="eastAsia" w:ascii="仿宋_GB2312" w:hAnsi="仿宋" w:eastAsia="仿宋_GB2312"/>
          <w:sz w:val="32"/>
          <w:szCs w:val="32"/>
        </w:rPr>
        <w:t>、《财政部 国家卫生健康委 国家疾控局关于下达2023年重大传染病防控经费预算的通知》（财社〔2023〕63号）和北京市卫生健康委员会制定的实施方案，结合各区重大传染病防控任务情况和区级实际情况，制定了重大传染病防控经费项目实施方案和资金分配方案。</w:t>
      </w:r>
    </w:p>
    <w:p>
      <w:pPr>
        <w:pStyle w:val="3"/>
        <w:spacing w:after="0" w:line="580" w:lineRule="exact"/>
        <w:ind w:firstLine="640" w:firstLineChars="200"/>
        <w:rPr>
          <w:rFonts w:ascii="仿宋_GB2312" w:hAnsi="楷体" w:eastAsia="仿宋_GB2312" w:cs="仿宋_GB2312"/>
          <w:bCs/>
          <w:color w:val="auto"/>
          <w:sz w:val="32"/>
          <w:szCs w:val="32"/>
        </w:rPr>
      </w:pPr>
      <w:r>
        <w:rPr>
          <w:rFonts w:hint="eastAsia" w:ascii="仿宋_GB2312" w:hAnsi="仿宋" w:eastAsia="仿宋_GB2312"/>
          <w:color w:val="auto"/>
          <w:sz w:val="32"/>
          <w:szCs w:val="32"/>
        </w:rPr>
        <w:t>2023年重大传染病防控经费项目</w:t>
      </w:r>
      <w:r>
        <w:rPr>
          <w:rFonts w:hint="eastAsia" w:ascii="仿宋_GB2312" w:hAnsi="楷体" w:eastAsia="仿宋_GB2312" w:cs="仿宋_GB2312"/>
          <w:bCs/>
          <w:color w:val="auto"/>
          <w:sz w:val="32"/>
          <w:szCs w:val="32"/>
        </w:rPr>
        <w:t>资金采用因素法分配。分配时主要考虑任务量、工作标准和绩效等因素，较为科学合理。</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2.资金下达及时性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北京市卫生健康委员会制定项目实施方案后，严格按照预算法及其实施条例，向北京市财政局提出申请，由北京市财政局及时将项目资金下达给各区财政局、8家直属单位、13家市属医院和18家非直属市级单位。各区卫生健康委员会在收到资金下达的通知后，根据各区的实际情况结合北京市卫生健康委员会制定的实施方案情况，制定本区的资金分配方案，由区财政局将项目资金及时下达给各个项目资金使用单位，项目整体资金下达较为及时。</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3.资金拨付合规性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2023年北京市重大传染病防控经费转移支付严格按照北京市国库集中支付制度有关规定支付资金，未出现违规将资金从国库转入财政专户或支付到预算单位实有资金账户等问题。</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4.资金使用规范性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2023年北京市重大传染病防控经费转移支付根据《财政部 国家卫生健康委 国家医保局 国家中医药局 国家疾控局关于修订基本公共卫生服务等5项补助资金管理办法的通知》（财社〔2022〕31号）、《财政部 国家卫生健康委 国家疾控局关于提前下达2023年重大传染病防控经费预算的通知》（财社〔2022〕137号）、《财政部 国家卫生健康委 国家疾控局关于下达2023年重大传染病防控经费预算的通知》（财社〔2023〕63号）要求，能够做到专款专用，严格按照下达预算的科目和项目执行，未出现截留、挤占、挪用或擅自调整等问题，资金管理使用较为规范。</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5.资金执行准确性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按照预算安排的金额执行，不存在执行数偏离预算数较多的问题。2023年北京市重大传染病防控经费转移支付总投入为</w:t>
      </w:r>
      <w:r>
        <w:rPr>
          <w:rFonts w:ascii="仿宋_GB2312" w:hAnsi="仿宋" w:eastAsia="仿宋_GB2312"/>
          <w:sz w:val="32"/>
          <w:szCs w:val="32"/>
        </w:rPr>
        <w:t>50</w:t>
      </w:r>
      <w:r>
        <w:rPr>
          <w:rFonts w:hint="eastAsia" w:ascii="仿宋_GB2312" w:hAnsi="仿宋" w:eastAsia="仿宋_GB2312"/>
          <w:sz w:val="32"/>
          <w:szCs w:val="32"/>
        </w:rPr>
        <w:t>,</w:t>
      </w:r>
      <w:r>
        <w:rPr>
          <w:rFonts w:ascii="仿宋_GB2312" w:hAnsi="仿宋" w:eastAsia="仿宋_GB2312"/>
          <w:sz w:val="32"/>
          <w:szCs w:val="32"/>
        </w:rPr>
        <w:t>365.5</w:t>
      </w:r>
      <w:r>
        <w:rPr>
          <w:rFonts w:hint="eastAsia" w:ascii="仿宋_GB2312" w:hAnsi="仿宋" w:eastAsia="仿宋_GB2312"/>
          <w:sz w:val="32"/>
          <w:szCs w:val="32"/>
        </w:rPr>
        <w:t>5</w:t>
      </w:r>
      <w:r>
        <w:rPr>
          <w:rFonts w:hint="eastAsia" w:ascii="仿宋_GB2312" w:hAnsi="楷体" w:eastAsia="仿宋_GB2312" w:cs="仿宋_GB2312"/>
          <w:bCs/>
          <w:sz w:val="32"/>
          <w:szCs w:val="32"/>
        </w:rPr>
        <w:t>万元，实际到位资金为</w:t>
      </w:r>
      <w:r>
        <w:rPr>
          <w:rFonts w:ascii="仿宋_GB2312" w:hAnsi="仿宋" w:eastAsia="仿宋_GB2312"/>
          <w:sz w:val="32"/>
          <w:szCs w:val="32"/>
        </w:rPr>
        <w:t>50</w:t>
      </w:r>
      <w:r>
        <w:rPr>
          <w:rFonts w:hint="eastAsia" w:ascii="仿宋_GB2312" w:hAnsi="仿宋" w:eastAsia="仿宋_GB2312"/>
          <w:sz w:val="32"/>
          <w:szCs w:val="32"/>
        </w:rPr>
        <w:t>,</w:t>
      </w:r>
      <w:r>
        <w:rPr>
          <w:rFonts w:ascii="仿宋_GB2312" w:hAnsi="仿宋" w:eastAsia="仿宋_GB2312"/>
          <w:sz w:val="32"/>
          <w:szCs w:val="32"/>
        </w:rPr>
        <w:t>365.5</w:t>
      </w:r>
      <w:r>
        <w:rPr>
          <w:rFonts w:hint="eastAsia" w:ascii="仿宋_GB2312" w:hAnsi="仿宋" w:eastAsia="仿宋_GB2312"/>
          <w:sz w:val="32"/>
          <w:szCs w:val="32"/>
        </w:rPr>
        <w:t>5</w:t>
      </w:r>
      <w:r>
        <w:rPr>
          <w:rFonts w:hint="eastAsia" w:ascii="仿宋_GB2312" w:hAnsi="楷体" w:eastAsia="仿宋_GB2312" w:cs="仿宋_GB2312"/>
          <w:bCs/>
          <w:sz w:val="32"/>
          <w:szCs w:val="32"/>
        </w:rPr>
        <w:t>万元，资金到位率为100%。截至2023年12月31日，实际支出金额为</w:t>
      </w:r>
      <w:r>
        <w:rPr>
          <w:rFonts w:hint="eastAsia" w:ascii="仿宋_GB2312" w:hAnsi="仿宋" w:eastAsia="仿宋_GB2312"/>
          <w:sz w:val="32"/>
          <w:szCs w:val="32"/>
        </w:rPr>
        <w:t>29,114.96万元，预算执行率为57.81%。</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6.预算绩效管理情况</w:t>
      </w:r>
    </w:p>
    <w:p>
      <w:pPr>
        <w:spacing w:line="580" w:lineRule="exact"/>
        <w:ind w:firstLine="640" w:firstLineChars="200"/>
        <w:jc w:val="both"/>
        <w:outlineLvl w:val="2"/>
        <w:rPr>
          <w:rFonts w:ascii="仿宋_GB2312" w:hAnsi="仿宋_GB2312" w:eastAsia="仿宋_GB2312" w:cs="仿宋_GB2312"/>
          <w:bCs/>
          <w:sz w:val="32"/>
          <w:szCs w:val="32"/>
        </w:rPr>
      </w:pPr>
      <w:r>
        <w:rPr>
          <w:rFonts w:hint="eastAsia" w:ascii="仿宋_GB2312" w:hAnsi="楷体" w:eastAsia="仿宋_GB2312" w:cs="仿宋_GB2312"/>
          <w:bCs/>
          <w:sz w:val="32"/>
          <w:szCs w:val="32"/>
        </w:rPr>
        <w:t>2023年</w:t>
      </w:r>
      <w:r>
        <w:rPr>
          <w:rFonts w:hint="eastAsia" w:ascii="仿宋_GB2312" w:hAnsi="仿宋_GB2312" w:eastAsia="仿宋_GB2312" w:cs="仿宋_GB2312"/>
          <w:bCs/>
          <w:color w:val="auto"/>
          <w:sz w:val="32"/>
          <w:szCs w:val="32"/>
        </w:rPr>
        <w:t>北京市重大传染病防控经费转移支付</w:t>
      </w:r>
      <w:r>
        <w:rPr>
          <w:rFonts w:hint="eastAsia" w:ascii="仿宋_GB2312" w:hAnsi="楷体" w:eastAsia="仿宋_GB2312" w:cs="仿宋_GB2312"/>
          <w:bCs/>
          <w:sz w:val="32"/>
          <w:szCs w:val="32"/>
        </w:rPr>
        <w:t>在细化下达预算时同步下达绩效目标，北京市卫生健康委员会、16个区级卫生健康委员会和相关资金使用单位按照</w:t>
      </w:r>
      <w:r>
        <w:rPr>
          <w:rFonts w:hint="eastAsia" w:ascii="仿宋_GB2312" w:hAnsi="仿宋_GB2312" w:eastAsia="仿宋_GB2312" w:cs="仿宋_GB2312"/>
          <w:bCs/>
          <w:color w:val="auto"/>
          <w:sz w:val="32"/>
          <w:szCs w:val="32"/>
        </w:rPr>
        <w:t>《财政部关于开展2023年度中央对地方转移支付预算执行情况绩效自评工作的通知》（财监〔2024〕3号）</w:t>
      </w:r>
      <w:r>
        <w:rPr>
          <w:rFonts w:hint="eastAsia" w:ascii="仿宋_GB2312" w:hAnsi="楷体" w:eastAsia="仿宋_GB2312" w:cs="仿宋_GB2312"/>
          <w:bCs/>
          <w:sz w:val="32"/>
          <w:szCs w:val="32"/>
        </w:rPr>
        <w:t>要求，组织开展绩效自评工作。</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7.支出责任履行情况</w:t>
      </w:r>
    </w:p>
    <w:p>
      <w:pPr>
        <w:pStyle w:val="5"/>
        <w:spacing w:line="580" w:lineRule="exact"/>
        <w:ind w:firstLine="640" w:firstLineChars="200"/>
        <w:jc w:val="both"/>
        <w:rPr>
          <w:rFonts w:ascii="仿宋_GB2312" w:hAnsi="仿宋_GB2312" w:eastAsia="仿宋_GB2312" w:cs="仿宋_GB2312"/>
          <w:sz w:val="32"/>
          <w:szCs w:val="32"/>
        </w:rPr>
      </w:pPr>
      <w:r>
        <w:rPr>
          <w:rFonts w:hint="eastAsia" w:ascii="仿宋_GB2312" w:hAnsi="楷体" w:eastAsia="仿宋_GB2312" w:cs="仿宋_GB2312"/>
          <w:bCs/>
          <w:sz w:val="32"/>
          <w:szCs w:val="32"/>
        </w:rPr>
        <w:t>北京市卫生健康委员会和北京市财政局针对</w:t>
      </w:r>
      <w:r>
        <w:rPr>
          <w:rFonts w:hint="eastAsia" w:ascii="仿宋_GB2312" w:hAnsi="仿宋" w:eastAsia="仿宋_GB2312"/>
          <w:sz w:val="32"/>
          <w:szCs w:val="32"/>
        </w:rPr>
        <w:t>中央转移支付重大传染病防控经费</w:t>
      </w:r>
      <w:r>
        <w:rPr>
          <w:rFonts w:hint="eastAsia" w:ascii="仿宋_GB2312" w:hAnsi="楷体" w:eastAsia="仿宋_GB2312" w:cs="仿宋_GB2312"/>
          <w:bCs/>
          <w:sz w:val="32"/>
          <w:szCs w:val="32"/>
        </w:rPr>
        <w:t>能够做到严格按照财政事权和支出责任划分有关规定，足额安排资金履行本级支出责任。各区财政局、区卫生健康委员会及各个资金使用单位能够严格按照财政事权和支出责任划分有关规定，足额安排资金履行本级支出责任。</w:t>
      </w:r>
    </w:p>
    <w:p>
      <w:pPr>
        <w:pStyle w:val="5"/>
        <w:spacing w:line="580" w:lineRule="exact"/>
        <w:ind w:firstLine="640" w:firstLineChars="200"/>
        <w:rPr>
          <w:rFonts w:ascii="楷体" w:hAnsi="楷体" w:eastAsia="楷体" w:cs="楷体"/>
          <w:bCs/>
          <w:kern w:val="2"/>
          <w:sz w:val="32"/>
          <w:szCs w:val="32"/>
        </w:rPr>
      </w:pPr>
      <w:r>
        <w:rPr>
          <w:rFonts w:hint="eastAsia" w:ascii="楷体" w:hAnsi="楷体" w:eastAsia="楷体" w:cs="楷体"/>
          <w:bCs/>
          <w:kern w:val="2"/>
          <w:sz w:val="32"/>
          <w:szCs w:val="32"/>
        </w:rPr>
        <w:t>（三）总体绩效目标完成情况分析</w:t>
      </w:r>
    </w:p>
    <w:p>
      <w:pPr>
        <w:pStyle w:val="5"/>
        <w:spacing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随着中央转移支付重大传染病防控经费支持力度不断加大，2023年整体绩效目标完成情况如下：</w:t>
      </w:r>
    </w:p>
    <w:p>
      <w:pPr>
        <w:pStyle w:val="12"/>
        <w:widowControl w:val="0"/>
        <w:tabs>
          <w:tab w:val="left" w:pos="1339"/>
        </w:tabs>
        <w:kinsoku/>
        <w:autoSpaceDE/>
        <w:autoSpaceDN/>
        <w:adjustRightInd/>
        <w:snapToGrid/>
        <w:spacing w:line="580" w:lineRule="exact"/>
        <w:ind w:firstLine="640" w:firstLineChars="200"/>
        <w:jc w:val="both"/>
        <w:textAlignment w:val="auto"/>
        <w:rPr>
          <w:rFonts w:hint="default" w:ascii="仿宋_GB2312" w:hAnsi="仿宋" w:eastAsia="仿宋_GB2312"/>
          <w:sz w:val="32"/>
          <w:szCs w:val="32"/>
        </w:rPr>
      </w:pPr>
      <w:r>
        <w:rPr>
          <w:rFonts w:ascii="仿宋_GB2312" w:hAnsi="仿宋" w:eastAsia="仿宋_GB2312"/>
          <w:sz w:val="32"/>
          <w:szCs w:val="32"/>
        </w:rPr>
        <w:t>（1）扩大国家免疫规划项目。完成国家免疫规划疫苗采购工作。适龄儿童能够得到良好的预防接种服务，2023年全市适龄儿童免疫规划疫苗累计应种365.4万剂次，实际接种365.2万剂次，接种率为99.97%。北京市免疫规划疫苗报告接种率分别为卡介苗99.54%、乙肝疫苗99.98%、脊灰疫苗99.98%、百白破疫苗99.99%、含麻类疫苗99.99%、A群流脑疫苗99.99%、A+C群流脑疫苗99.97%、乙脑疫苗99.99%、甲肝疫苗99.99%。保证适龄儿童、易感人群获得了很高的疫苗接种率，在人群中建立了免疫屏障，极大降低了疫苗可预防传染病的发病率。</w:t>
      </w:r>
    </w:p>
    <w:p>
      <w:pPr>
        <w:pStyle w:val="12"/>
        <w:widowControl w:val="0"/>
        <w:tabs>
          <w:tab w:val="left" w:pos="1339"/>
        </w:tabs>
        <w:kinsoku/>
        <w:autoSpaceDE/>
        <w:autoSpaceDN/>
        <w:adjustRightInd/>
        <w:snapToGrid/>
        <w:spacing w:line="580" w:lineRule="exact"/>
        <w:ind w:firstLine="640" w:firstLineChars="200"/>
        <w:jc w:val="both"/>
        <w:textAlignment w:val="auto"/>
        <w:rPr>
          <w:rFonts w:hint="default" w:ascii="仿宋_GB2312" w:hAnsi="仿宋" w:eastAsia="仿宋_GB2312"/>
          <w:sz w:val="32"/>
          <w:szCs w:val="32"/>
        </w:rPr>
      </w:pPr>
      <w:r>
        <w:rPr>
          <w:rFonts w:ascii="仿宋_GB2312" w:hAnsi="仿宋" w:eastAsia="仿宋_GB2312"/>
          <w:sz w:val="32"/>
          <w:szCs w:val="32"/>
        </w:rPr>
        <w:t>（2）艾滋病防治项目。2023年全年完成艾滋病高危人群（暗娼、男男性行为人群）检测86291人，完成率达122.5%。北京市4家艾滋病抗病毒定点治疗医院累计免费治疗艾滋病病人28385人，在治病人26073人，完成率达106.0%。全市完成HIV/AIDS随访检测26609人，随访检测率为97.9%。56家自愿咨询检测门诊共接待艾滋病自愿咨询者16763例，接受HIV检测者率99.22％。</w:t>
      </w:r>
    </w:p>
    <w:p>
      <w:pPr>
        <w:pStyle w:val="12"/>
        <w:widowControl w:val="0"/>
        <w:tabs>
          <w:tab w:val="left" w:pos="1339"/>
        </w:tabs>
        <w:kinsoku/>
        <w:autoSpaceDE/>
        <w:autoSpaceDN/>
        <w:adjustRightInd/>
        <w:snapToGrid/>
        <w:spacing w:line="580" w:lineRule="exact"/>
        <w:ind w:firstLine="640" w:firstLineChars="200"/>
        <w:jc w:val="both"/>
        <w:textAlignment w:val="auto"/>
        <w:rPr>
          <w:rFonts w:hint="default" w:ascii="仿宋_GB2312" w:hAnsi="仿宋" w:eastAsia="仿宋_GB2312"/>
          <w:sz w:val="32"/>
          <w:szCs w:val="32"/>
        </w:rPr>
      </w:pPr>
      <w:r>
        <w:rPr>
          <w:rFonts w:ascii="仿宋_GB2312" w:hAnsi="仿宋" w:eastAsia="仿宋_GB2312"/>
          <w:sz w:val="32"/>
          <w:szCs w:val="32"/>
        </w:rPr>
        <w:t>（</w:t>
      </w:r>
      <w:r>
        <w:rPr>
          <w:rFonts w:hint="default" w:ascii="仿宋_GB2312" w:hAnsi="仿宋" w:eastAsia="仿宋_GB2312"/>
          <w:sz w:val="32"/>
          <w:szCs w:val="32"/>
        </w:rPr>
        <w:t>3</w:t>
      </w:r>
      <w:r>
        <w:rPr>
          <w:rFonts w:ascii="仿宋_GB2312" w:hAnsi="仿宋" w:eastAsia="仿宋_GB2312"/>
          <w:sz w:val="32"/>
          <w:szCs w:val="32"/>
        </w:rPr>
        <w:t>）结核病防治项目。全市登记规范治疗和随访检查的肺结核患者4059例，治疗任务完成任务率85.1%。全市登记患者成功治疗率92.1%。病原学阳性应做筛查2628人次，药敏检查2559人次，病原学阳性肺结核患者耐药筛查率为97.4%。向9632例肺结核可疑者提供免费检查，任务完成率125%。登记肺结核患者的密切接触者筛查9139例，筛查率99.9%。</w:t>
      </w:r>
    </w:p>
    <w:p>
      <w:pPr>
        <w:pStyle w:val="12"/>
        <w:widowControl w:val="0"/>
        <w:tabs>
          <w:tab w:val="left" w:pos="1339"/>
        </w:tabs>
        <w:kinsoku/>
        <w:autoSpaceDE/>
        <w:autoSpaceDN/>
        <w:adjustRightInd/>
        <w:snapToGrid/>
        <w:spacing w:line="580" w:lineRule="exact"/>
        <w:ind w:firstLine="640" w:firstLineChars="200"/>
        <w:jc w:val="both"/>
        <w:textAlignment w:val="auto"/>
        <w:rPr>
          <w:rFonts w:hint="default" w:ascii="仿宋_GB2312" w:hAnsi="仿宋" w:eastAsia="仿宋_GB2312"/>
          <w:sz w:val="32"/>
          <w:szCs w:val="32"/>
        </w:rPr>
      </w:pPr>
      <w:r>
        <w:rPr>
          <w:rFonts w:ascii="仿宋_GB2312" w:hAnsi="仿宋" w:eastAsia="仿宋_GB2312"/>
          <w:sz w:val="32"/>
          <w:szCs w:val="32"/>
        </w:rPr>
        <w:t>（4）查治包虫病病人，开展包虫病传染源管理，包虫病监测任务完成率达100%。</w:t>
      </w:r>
    </w:p>
    <w:p>
      <w:pPr>
        <w:pStyle w:val="3"/>
        <w:kinsoku/>
        <w:autoSpaceDE/>
        <w:autoSpaceDN/>
        <w:spacing w:after="0"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5</w:t>
      </w:r>
      <w:r>
        <w:rPr>
          <w:rFonts w:hint="eastAsia" w:ascii="仿宋_GB2312" w:hAnsi="仿宋" w:eastAsia="仿宋_GB2312"/>
          <w:sz w:val="32"/>
          <w:szCs w:val="32"/>
        </w:rPr>
        <w:t>）慢性非传染性疾病防治项目。继续巩固慢性病综合防控示范区建设成果，已建成国家级示范区11个，市级示范区5个。推进全民健康生活方式行动，新创建健康示范机构129家，其中健康餐厅25家、健康食堂24家、健康超市17家、健康社区40家、健康单位23家。在全市范围内开展全人群死因监测及肿瘤随访登记，年度死因编码评价及数据上报及时性、审核及时性均达到国家标准，累计收集恶性肿瘤就诊病例92.5万人次，主动随访社区肿瘤患者3万例，失访率为2.90%。开展慢性病与营养监测工作，建立食物中反式脂肪酸、有机酸的检测方法，做好监测区学校的营养监测工作。推进口腔卫生保健服务，在全市范围内共为61.2万名儿童提供免费口腔检查及窝沟封闭防龋服务，封闭牙齿33.8万颗，窝沟封闭完好率96.5%；提供免费氟化泡沫预防龋齿服务69万人次。组织开展癌症、心脑血管疾病高危人群筛查干预线上培训及现场督导，完成癌症、心脑血管、慢阻肺高危人群筛查及干预随访6.8万人。</w:t>
      </w:r>
    </w:p>
    <w:p>
      <w:pPr>
        <w:pStyle w:val="3"/>
        <w:kinsoku/>
        <w:autoSpaceDE/>
        <w:autoSpaceDN/>
        <w:spacing w:after="0"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6</w:t>
      </w:r>
      <w:r>
        <w:rPr>
          <w:rFonts w:hint="eastAsia" w:ascii="仿宋_GB2312" w:hAnsi="仿宋" w:eastAsia="仿宋_GB2312"/>
          <w:sz w:val="32"/>
          <w:szCs w:val="32"/>
        </w:rPr>
        <w:t>）精神卫生管理项目。截至2023年底，北京市完成了国家分配的精神卫生项目各项指标任务和绩效指标。其中，筛查疑似患者34312例，筛查任务完成率127.51%；在册严重精神障碍患者治疗率88.32%，完成高风险患者随访技术指导1717例、5110人次，开展应急医疗处置1275人次，对家属开展护理教育43847例；开展社会心理服务体系建设试点工作，面向全市全面开展社会心理服务体系建设试点经验推广工作。</w:t>
      </w:r>
    </w:p>
    <w:p>
      <w:pPr>
        <w:pStyle w:val="3"/>
        <w:kinsoku/>
        <w:autoSpaceDE/>
        <w:autoSpaceDN/>
        <w:spacing w:after="0"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7</w:t>
      </w:r>
      <w:r>
        <w:rPr>
          <w:rFonts w:hint="eastAsia" w:ascii="仿宋_GB2312" w:hAnsi="仿宋" w:eastAsia="仿宋_GB2312"/>
          <w:sz w:val="32"/>
          <w:szCs w:val="32"/>
        </w:rPr>
        <w:t>）重点传染病及健康危害因素监测。开展自然疫源性疾病及手足口病防治项目、鼠疫禽流感监测、流感和不明原因肺炎监测、新冠病毒监测、病毒性腹泻监测、细菌性传染病监测和麻风病监测等工作，组织监测单位定期收集数据等，并对发现和报告的疫情及时进行处置。2023年，监测工作共上报数据73450例，同比上升7.8%（2022年68124例），漏报率约为9.5%。</w:t>
      </w:r>
    </w:p>
    <w:p>
      <w:pPr>
        <w:pStyle w:val="3"/>
        <w:kinsoku/>
        <w:autoSpaceDE/>
        <w:autoSpaceDN/>
        <w:spacing w:after="0"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8</w:t>
      </w:r>
      <w:r>
        <w:rPr>
          <w:rFonts w:hint="eastAsia" w:ascii="仿宋_GB2312" w:hAnsi="仿宋" w:eastAsia="仿宋_GB2312"/>
          <w:sz w:val="32"/>
          <w:szCs w:val="32"/>
        </w:rPr>
        <w:t>）2023年，饮用水和环境卫生监测完成率100%。消毒监测与评价项目需监测样本量不少于10000件，已完成监测10125件；公共场所健康危害因素监测项目完成5个监测点8类394户次监测，完成了计划目标。人体生物监测项目3-36月龄对象监测部分已全部完成，3-79岁人群人体生物监测部分，怀柔区已全部完成，门头沟区主要现场工作已完成，已提交中国疾控预防控制中心待审核补充。根据现场调查对象配合度及该项目2023—2024年进度安排，已推进西城区于2024年内完成现场工作。空气污染对人群健康影响监测与防护项目已完成PM2.5监测覆盖市辖区数量≥5个的既定目标。</w:t>
      </w:r>
    </w:p>
    <w:p>
      <w:pPr>
        <w:pStyle w:val="3"/>
        <w:kinsoku/>
        <w:autoSpaceDE/>
        <w:autoSpaceDN/>
        <w:spacing w:after="0"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9</w:t>
      </w:r>
      <w:r>
        <w:rPr>
          <w:rFonts w:hint="eastAsia" w:ascii="仿宋_GB2312" w:hAnsi="仿宋" w:eastAsia="仿宋_GB2312"/>
          <w:sz w:val="32"/>
          <w:szCs w:val="32"/>
        </w:rPr>
        <w:t>）2023年，学生常见病和健康影响因素监测共覆盖小学、初中、高中、大学200余所，兼顾了城乡分布和寄宿制学校；5.6万余名学生完成近视检测（远视力检查、电脑验光）；3.6万余名学生完成了常见病和健康影响因素监测与干预，其中4年级以上的2.8万余名大中小学生完成了问卷调查。</w:t>
      </w:r>
    </w:p>
    <w:p>
      <w:pPr>
        <w:pStyle w:val="5"/>
        <w:spacing w:line="580" w:lineRule="exact"/>
        <w:ind w:firstLine="640" w:firstLineChars="200"/>
        <w:rPr>
          <w:rFonts w:ascii="楷体" w:hAnsi="楷体" w:eastAsia="楷体" w:cs="楷体"/>
          <w:bCs/>
          <w:kern w:val="2"/>
          <w:sz w:val="32"/>
          <w:szCs w:val="32"/>
        </w:rPr>
      </w:pPr>
      <w:r>
        <w:rPr>
          <w:rFonts w:hint="eastAsia" w:ascii="楷体" w:hAnsi="楷体" w:eastAsia="楷体" w:cs="楷体"/>
          <w:bCs/>
          <w:kern w:val="2"/>
          <w:sz w:val="32"/>
          <w:szCs w:val="32"/>
        </w:rPr>
        <w:t>（四）绩效指标完成情况分析</w:t>
      </w:r>
    </w:p>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pStyle w:val="3"/>
        <w:spacing w:after="0" w:line="58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（1）数量指标</w:t>
      </w:r>
    </w:p>
    <w:p>
      <w:pPr>
        <w:spacing w:line="580" w:lineRule="exact"/>
        <w:ind w:firstLine="640" w:firstLineChars="200"/>
        <w:jc w:val="both"/>
        <w:rPr>
          <w:rFonts w:ascii="仿宋_GB2312" w:hAnsi="仿宋" w:eastAsia="仿宋_GB2312"/>
          <w:sz w:val="32"/>
          <w:szCs w:val="32"/>
        </w:rPr>
      </w:pPr>
      <w:r>
        <w:rPr>
          <w:rFonts w:hint="eastAsia" w:ascii="仿宋_GB2312" w:hAnsi="楷体" w:eastAsia="仿宋_GB2312" w:cs="仿宋_GB2312"/>
          <w:bCs/>
          <w:sz w:val="32"/>
          <w:szCs w:val="32"/>
        </w:rPr>
        <w:t>2023年</w:t>
      </w:r>
      <w:r>
        <w:rPr>
          <w:rFonts w:hint="eastAsia" w:ascii="仿宋_GB2312" w:hAnsi="仿宋_GB2312" w:eastAsia="仿宋_GB2312" w:cs="仿宋_GB2312"/>
          <w:bCs/>
          <w:color w:val="auto"/>
          <w:sz w:val="32"/>
          <w:szCs w:val="32"/>
        </w:rPr>
        <w:t>北京市重大传染病防控经费转移支付</w:t>
      </w:r>
      <w:r>
        <w:rPr>
          <w:rFonts w:hint="eastAsia" w:ascii="仿宋_GB2312" w:hAnsi="仿宋" w:eastAsia="仿宋_GB2312"/>
          <w:sz w:val="32"/>
          <w:szCs w:val="32"/>
        </w:rPr>
        <w:t>项目设定的产出数量指标共4项。预期目标已全部完成。具体情况见下表</w:t>
      </w:r>
      <w:r>
        <w:rPr>
          <w:rFonts w:hint="eastAsia" w:ascii="仿宋_GB2312" w:hAnsi="仿宋" w:eastAsia="仿宋_GB2312"/>
          <w:sz w:val="32"/>
          <w:szCs w:val="32"/>
          <w:lang w:val="en-US" w:eastAsia="zh-CN"/>
        </w:rPr>
        <w:t>1</w:t>
      </w:r>
      <w:r>
        <w:rPr>
          <w:rFonts w:ascii="仿宋_GB2312" w:hAnsi="仿宋" w:eastAsia="仿宋_GB2312"/>
          <w:sz w:val="32"/>
          <w:szCs w:val="32"/>
        </w:rPr>
        <w:t>：</w:t>
      </w:r>
    </w:p>
    <w:p>
      <w:pPr>
        <w:pStyle w:val="3"/>
        <w:widowControl w:val="0"/>
        <w:kinsoku/>
        <w:autoSpaceDE/>
        <w:autoSpaceDN/>
        <w:adjustRightInd/>
        <w:snapToGrid/>
        <w:spacing w:after="0" w:line="240" w:lineRule="auto"/>
        <w:ind w:firstLine="560"/>
        <w:jc w:val="center"/>
        <w:textAlignment w:val="auto"/>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1</w:t>
      </w:r>
      <w:r>
        <w:rPr>
          <w:rFonts w:hint="eastAsia" w:ascii="仿宋_GB2312" w:hAnsi="仿宋_GB2312" w:eastAsia="仿宋_GB2312" w:cs="仿宋_GB2312"/>
          <w:snapToGrid/>
          <w:kern w:val="2"/>
          <w:sz w:val="28"/>
          <w:szCs w:val="28"/>
        </w:rPr>
        <w:t>：产出数量指标完成情况表</w:t>
      </w:r>
    </w:p>
    <w:tbl>
      <w:tblPr>
        <w:tblStyle w:val="10"/>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1315"/>
        <w:gridCol w:w="2794"/>
        <w:gridCol w:w="1843"/>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34"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序号</w:t>
            </w:r>
          </w:p>
        </w:tc>
        <w:tc>
          <w:tcPr>
            <w:tcW w:w="1315"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指标类型</w:t>
            </w:r>
          </w:p>
        </w:tc>
        <w:tc>
          <w:tcPr>
            <w:tcW w:w="2794"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三级指标</w:t>
            </w:r>
          </w:p>
        </w:tc>
        <w:tc>
          <w:tcPr>
            <w:tcW w:w="1843"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指标值</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3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1</w:t>
            </w:r>
          </w:p>
        </w:tc>
        <w:tc>
          <w:tcPr>
            <w:tcW w:w="131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数量指标</w:t>
            </w:r>
          </w:p>
        </w:tc>
        <w:tc>
          <w:tcPr>
            <w:tcW w:w="279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农村癌症早诊早治项目大肠癌筛查例数</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≥5000例</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5398例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73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2</w:t>
            </w:r>
          </w:p>
        </w:tc>
        <w:tc>
          <w:tcPr>
            <w:tcW w:w="131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数量指标</w:t>
            </w:r>
          </w:p>
        </w:tc>
        <w:tc>
          <w:tcPr>
            <w:tcW w:w="279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黑热病等其他寄生虫病监测点数量</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3个</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3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3</w:t>
            </w:r>
          </w:p>
        </w:tc>
        <w:tc>
          <w:tcPr>
            <w:tcW w:w="131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数量指标</w:t>
            </w:r>
          </w:p>
        </w:tc>
        <w:tc>
          <w:tcPr>
            <w:tcW w:w="279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流感和新冠监测的哨点医院数</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11个</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39个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34"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4</w:t>
            </w:r>
          </w:p>
        </w:tc>
        <w:tc>
          <w:tcPr>
            <w:tcW w:w="131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数量指标</w:t>
            </w:r>
          </w:p>
        </w:tc>
        <w:tc>
          <w:tcPr>
            <w:tcW w:w="279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城市污水新冠病毒监测工作城市数量</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1个</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1个</w:t>
            </w:r>
          </w:p>
        </w:tc>
      </w:tr>
    </w:tbl>
    <w:p>
      <w:pPr>
        <w:pStyle w:val="3"/>
        <w:spacing w:after="0" w:line="58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质量指标</w:t>
      </w:r>
    </w:p>
    <w:p>
      <w:pPr>
        <w:pStyle w:val="3"/>
        <w:spacing w:after="0"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2023年北京市重大传染病防控经费转移支付项目设定的产出质量指标共25项，均已完成（其中“灭螺任务完成率≥90%”指标，由于北京市为非流行省份，不涉及该项工作）。具体情况见下表</w:t>
      </w:r>
      <w:r>
        <w:rPr>
          <w:rFonts w:hint="eastAsia" w:ascii="仿宋_GB2312" w:hAnsi="仿宋" w:eastAsia="仿宋_GB2312"/>
          <w:sz w:val="32"/>
          <w:szCs w:val="32"/>
          <w:lang w:val="en-US" w:eastAsia="zh-CN"/>
        </w:rPr>
        <w:t>2</w:t>
      </w:r>
      <w:r>
        <w:rPr>
          <w:rFonts w:ascii="仿宋_GB2312" w:hAnsi="仿宋" w:eastAsia="仿宋_GB2312"/>
          <w:sz w:val="32"/>
          <w:szCs w:val="32"/>
        </w:rPr>
        <w:t>：</w:t>
      </w:r>
    </w:p>
    <w:p>
      <w:pPr>
        <w:pStyle w:val="3"/>
        <w:widowControl w:val="0"/>
        <w:kinsoku/>
        <w:autoSpaceDE/>
        <w:autoSpaceDN/>
        <w:adjustRightInd/>
        <w:snapToGrid/>
        <w:spacing w:after="0" w:line="240" w:lineRule="auto"/>
        <w:ind w:firstLine="560"/>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2</w:t>
      </w:r>
      <w:r>
        <w:rPr>
          <w:rFonts w:hint="eastAsia" w:ascii="仿宋_GB2312" w:hAnsi="仿宋_GB2312" w:eastAsia="仿宋_GB2312" w:cs="仿宋_GB2312"/>
          <w:snapToGrid/>
          <w:kern w:val="2"/>
          <w:sz w:val="28"/>
          <w:szCs w:val="28"/>
        </w:rPr>
        <w:t>：产出质量指标完成情况表</w:t>
      </w:r>
    </w:p>
    <w:tbl>
      <w:tblPr>
        <w:tblStyle w:val="9"/>
        <w:tblW w:w="5055" w:type="pct"/>
        <w:tblInd w:w="0" w:type="dxa"/>
        <w:tblLayout w:type="autofit"/>
        <w:tblCellMar>
          <w:top w:w="0" w:type="dxa"/>
          <w:left w:w="108" w:type="dxa"/>
          <w:bottom w:w="0" w:type="dxa"/>
          <w:right w:w="108" w:type="dxa"/>
        </w:tblCellMar>
      </w:tblPr>
      <w:tblGrid>
        <w:gridCol w:w="636"/>
        <w:gridCol w:w="1057"/>
        <w:gridCol w:w="3575"/>
        <w:gridCol w:w="1358"/>
        <w:gridCol w:w="1990"/>
      </w:tblGrid>
      <w:tr>
        <w:tblPrEx>
          <w:tblCellMar>
            <w:top w:w="0" w:type="dxa"/>
            <w:left w:w="108" w:type="dxa"/>
            <w:bottom w:w="0" w:type="dxa"/>
            <w:right w:w="108" w:type="dxa"/>
          </w:tblCellMar>
        </w:tblPrEx>
        <w:trPr>
          <w:trHeight w:val="555" w:hRule="atLeast"/>
          <w:tblHeader/>
        </w:trPr>
        <w:tc>
          <w:tcPr>
            <w:tcW w:w="369" w:type="pct"/>
            <w:tcBorders>
              <w:top w:val="single" w:color="000000" w:sz="4" w:space="0"/>
              <w:left w:val="single" w:color="000000" w:sz="4" w:space="0"/>
              <w:bottom w:val="single" w:color="000000" w:sz="4" w:space="0"/>
              <w:right w:val="single" w:color="000000"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序号</w:t>
            </w:r>
          </w:p>
        </w:tc>
        <w:tc>
          <w:tcPr>
            <w:tcW w:w="613" w:type="pct"/>
            <w:tcBorders>
              <w:top w:val="single" w:color="000000" w:sz="4" w:space="0"/>
              <w:left w:val="single" w:color="000000" w:sz="4" w:space="0"/>
              <w:bottom w:val="single" w:color="000000" w:sz="4" w:space="0"/>
              <w:right w:val="single" w:color="000000"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指标类型</w:t>
            </w:r>
          </w:p>
        </w:tc>
        <w:tc>
          <w:tcPr>
            <w:tcW w:w="2074" w:type="pct"/>
            <w:tcBorders>
              <w:top w:val="single" w:color="000000" w:sz="4" w:space="0"/>
              <w:left w:val="single" w:color="000000" w:sz="4" w:space="0"/>
              <w:bottom w:val="single" w:color="000000" w:sz="4" w:space="0"/>
              <w:right w:val="single" w:color="000000"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三级指标</w:t>
            </w:r>
          </w:p>
        </w:tc>
        <w:tc>
          <w:tcPr>
            <w:tcW w:w="788" w:type="pct"/>
            <w:tcBorders>
              <w:top w:val="single" w:color="000000" w:sz="4" w:space="0"/>
              <w:left w:val="single" w:color="000000" w:sz="4" w:space="0"/>
              <w:bottom w:val="single" w:color="000000" w:sz="4" w:space="0"/>
              <w:right w:val="single" w:color="000000"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指标值</w:t>
            </w:r>
          </w:p>
        </w:tc>
        <w:tc>
          <w:tcPr>
            <w:tcW w:w="1154" w:type="pct"/>
            <w:tcBorders>
              <w:top w:val="single" w:color="000000" w:sz="4" w:space="0"/>
              <w:left w:val="single" w:color="000000" w:sz="4" w:space="0"/>
              <w:bottom w:val="single" w:color="000000" w:sz="4" w:space="0"/>
              <w:right w:val="single" w:color="000000"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CellMar>
            <w:top w:w="0" w:type="dxa"/>
            <w:left w:w="108" w:type="dxa"/>
            <w:bottom w:w="0" w:type="dxa"/>
            <w:right w:w="108" w:type="dxa"/>
          </w:tblCellMar>
        </w:tblPrEx>
        <w:trPr>
          <w:trHeight w:val="408"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麻风病可疑线索报告率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91%</w:t>
            </w:r>
          </w:p>
        </w:tc>
      </w:tr>
      <w:tr>
        <w:tblPrEx>
          <w:tblCellMar>
            <w:top w:w="0" w:type="dxa"/>
            <w:left w:w="108" w:type="dxa"/>
            <w:bottom w:w="0" w:type="dxa"/>
            <w:right w:w="108" w:type="dxa"/>
          </w:tblCellMar>
        </w:tblPrEx>
        <w:trPr>
          <w:trHeight w:val="448"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适龄儿童国家免疫规划疫苗接种率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&gt;90%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99.97%</w:t>
            </w:r>
          </w:p>
        </w:tc>
      </w:tr>
      <w:tr>
        <w:tblPrEx>
          <w:tblCellMar>
            <w:top w:w="0" w:type="dxa"/>
            <w:left w:w="108" w:type="dxa"/>
            <w:bottom w:w="0" w:type="dxa"/>
            <w:right w:w="108" w:type="dxa"/>
          </w:tblCellMar>
        </w:tblPrEx>
        <w:trPr>
          <w:trHeight w:val="433"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3</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color w:val="auto"/>
                <w:sz w:val="20"/>
                <w:szCs w:val="20"/>
              </w:rPr>
            </w:pPr>
            <w:r>
              <w:rPr>
                <w:rFonts w:hint="eastAsia" w:ascii="宋体" w:hAnsi="宋体" w:eastAsia="宋体" w:cs="宋体"/>
                <w:color w:val="auto"/>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auto"/>
                <w:sz w:val="20"/>
                <w:szCs w:val="20"/>
              </w:rPr>
            </w:pPr>
            <w:r>
              <w:rPr>
                <w:rFonts w:hint="eastAsia" w:ascii="宋体" w:hAnsi="宋体" w:eastAsia="宋体" w:cs="宋体"/>
                <w:color w:val="auto"/>
                <w:sz w:val="20"/>
                <w:szCs w:val="20"/>
              </w:rPr>
              <w:t>灭螺任务完成率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auto"/>
                <w:sz w:val="20"/>
                <w:szCs w:val="20"/>
              </w:rPr>
            </w:pPr>
            <w:r>
              <w:rPr>
                <w:rFonts w:hint="eastAsia" w:ascii="宋体" w:hAnsi="宋体" w:eastAsia="宋体" w:cs="宋体"/>
                <w:color w:val="auto"/>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auto"/>
                <w:sz w:val="20"/>
                <w:szCs w:val="20"/>
              </w:rPr>
            </w:pPr>
            <w:r>
              <w:rPr>
                <w:rFonts w:hint="eastAsia" w:ascii="宋体" w:hAnsi="宋体" w:eastAsia="宋体" w:cs="宋体"/>
                <w:color w:val="auto"/>
                <w:sz w:val="20"/>
                <w:szCs w:val="20"/>
              </w:rPr>
              <w:t>非流行省份，不涉及该项工作</w:t>
            </w:r>
          </w:p>
        </w:tc>
      </w:tr>
      <w:tr>
        <w:tblPrEx>
          <w:tblCellMar>
            <w:top w:w="0" w:type="dxa"/>
            <w:left w:w="108" w:type="dxa"/>
            <w:bottom w:w="0" w:type="dxa"/>
            <w:right w:w="108" w:type="dxa"/>
          </w:tblCellMar>
        </w:tblPrEx>
        <w:trPr>
          <w:trHeight w:val="408"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4</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包虫病监测任务完成率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≥95%：优；≥90%：合格</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100%，优</w:t>
            </w:r>
          </w:p>
        </w:tc>
      </w:tr>
      <w:tr>
        <w:tblPrEx>
          <w:tblCellMar>
            <w:top w:w="0" w:type="dxa"/>
            <w:left w:w="108" w:type="dxa"/>
            <w:bottom w:w="0" w:type="dxa"/>
            <w:right w:w="108" w:type="dxa"/>
          </w:tblCellMar>
        </w:tblPrEx>
        <w:trPr>
          <w:trHeight w:val="410"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5</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伤害监测漏报率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&lt;10%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9.5%</w:t>
            </w:r>
          </w:p>
        </w:tc>
      </w:tr>
      <w:tr>
        <w:tblPrEx>
          <w:tblCellMar>
            <w:top w:w="0" w:type="dxa"/>
            <w:left w:w="108" w:type="dxa"/>
            <w:bottom w:w="0" w:type="dxa"/>
            <w:right w:w="108" w:type="dxa"/>
          </w:tblCellMar>
        </w:tblPrEx>
        <w:trPr>
          <w:trHeight w:val="410"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6</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饮用水和环境卫生监测完成率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≥95%</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409"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7</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细菌性传染病网络实验室考核合格率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360"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8</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病媒生物监测结果分析报告率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387"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9</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麻风病按规定随访到位率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535"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10</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艾滋病高危人群（暗娼、男性同性性行人群）检测比例</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122.5%</w:t>
            </w:r>
          </w:p>
        </w:tc>
      </w:tr>
      <w:tr>
        <w:tblPrEx>
          <w:tblCellMar>
            <w:top w:w="0" w:type="dxa"/>
            <w:left w:w="108" w:type="dxa"/>
            <w:bottom w:w="0" w:type="dxa"/>
            <w:right w:w="108" w:type="dxa"/>
          </w:tblCellMar>
        </w:tblPrEx>
        <w:trPr>
          <w:trHeight w:val="535"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11</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艾滋病感染孕产妇及所生儿童抗病毒用药比例</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≥95%</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412"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艾滋病免费抗病毒治疗任务</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106%</w:t>
            </w:r>
          </w:p>
        </w:tc>
      </w:tr>
      <w:tr>
        <w:tblPrEx>
          <w:tblCellMar>
            <w:top w:w="0" w:type="dxa"/>
            <w:left w:w="108" w:type="dxa"/>
            <w:bottom w:w="0" w:type="dxa"/>
            <w:right w:w="108" w:type="dxa"/>
          </w:tblCellMar>
        </w:tblPrEx>
        <w:trPr>
          <w:trHeight w:val="464"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13</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肺结核患者治疗任务完成率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≥85%</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85.1%</w:t>
            </w:r>
          </w:p>
        </w:tc>
      </w:tr>
      <w:tr>
        <w:tblPrEx>
          <w:tblCellMar>
            <w:top w:w="0" w:type="dxa"/>
            <w:left w:w="108" w:type="dxa"/>
            <w:bottom w:w="0" w:type="dxa"/>
            <w:right w:w="108" w:type="dxa"/>
          </w:tblCellMar>
        </w:tblPrEx>
        <w:trPr>
          <w:trHeight w:val="409"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14</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肺结核患者成功治疗率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92.1%</w:t>
            </w:r>
          </w:p>
        </w:tc>
      </w:tr>
      <w:tr>
        <w:tblPrEx>
          <w:tblCellMar>
            <w:top w:w="0" w:type="dxa"/>
            <w:left w:w="108" w:type="dxa"/>
            <w:bottom w:w="0" w:type="dxa"/>
            <w:right w:w="108" w:type="dxa"/>
          </w:tblCellMar>
        </w:tblPrEx>
        <w:trPr>
          <w:trHeight w:val="472"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15</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病原学阳性肺结核患者耐药筛查率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97.4%</w:t>
            </w:r>
          </w:p>
        </w:tc>
      </w:tr>
      <w:tr>
        <w:tblPrEx>
          <w:tblCellMar>
            <w:top w:w="0" w:type="dxa"/>
            <w:left w:w="108" w:type="dxa"/>
            <w:bottom w:w="0" w:type="dxa"/>
            <w:right w:w="108" w:type="dxa"/>
          </w:tblCellMar>
        </w:tblPrEx>
        <w:trPr>
          <w:trHeight w:val="446"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16</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临床用血核酸检测覆盖率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422"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17</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居民健康素养监测数据合格率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385"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18</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妇幼健康监测年度质量控制完成率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569"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19</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全国青少年烟草流行调查应答率（实际完成调查人数占应调查人数的比例）</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≥85%</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92%</w:t>
            </w:r>
          </w:p>
        </w:tc>
      </w:tr>
      <w:tr>
        <w:tblPrEx>
          <w:tblCellMar>
            <w:top w:w="0" w:type="dxa"/>
            <w:left w:w="108" w:type="dxa"/>
            <w:bottom w:w="0" w:type="dxa"/>
            <w:right w:w="108" w:type="dxa"/>
          </w:tblCellMar>
        </w:tblPrEx>
        <w:trPr>
          <w:trHeight w:val="518"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20</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污染物和有害因素的监测样品数的完成率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CellMar>
            <w:top w:w="0" w:type="dxa"/>
            <w:left w:w="108" w:type="dxa"/>
            <w:bottom w:w="0" w:type="dxa"/>
            <w:right w:w="108" w:type="dxa"/>
          </w:tblCellMar>
        </w:tblPrEx>
        <w:trPr>
          <w:trHeight w:val="498"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21</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严重精神障碍患者筛查任务完成率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129.23%</w:t>
            </w:r>
          </w:p>
        </w:tc>
      </w:tr>
      <w:tr>
        <w:tblPrEx>
          <w:tblCellMar>
            <w:top w:w="0" w:type="dxa"/>
            <w:left w:w="108" w:type="dxa"/>
            <w:bottom w:w="0" w:type="dxa"/>
            <w:right w:w="108" w:type="dxa"/>
          </w:tblCellMar>
        </w:tblPrEx>
        <w:trPr>
          <w:trHeight w:val="435"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农村癫痫防治项目县患者筛查任务完成率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105.6%</w:t>
            </w:r>
          </w:p>
        </w:tc>
      </w:tr>
      <w:tr>
        <w:tblPrEx>
          <w:tblCellMar>
            <w:top w:w="0" w:type="dxa"/>
            <w:left w:w="108" w:type="dxa"/>
            <w:bottom w:w="0" w:type="dxa"/>
            <w:right w:w="108" w:type="dxa"/>
          </w:tblCellMar>
        </w:tblPrEx>
        <w:trPr>
          <w:trHeight w:val="470"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23</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在册严重精神障碍患者治疗率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≥60%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88.32%</w:t>
            </w:r>
          </w:p>
        </w:tc>
      </w:tr>
      <w:tr>
        <w:tblPrEx>
          <w:tblCellMar>
            <w:top w:w="0" w:type="dxa"/>
            <w:left w:w="108" w:type="dxa"/>
            <w:bottom w:w="0" w:type="dxa"/>
            <w:right w:w="108" w:type="dxa"/>
          </w:tblCellMar>
        </w:tblPrEx>
        <w:trPr>
          <w:trHeight w:val="508"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24</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窝沟封闭存留率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&gt;85%</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97%</w:t>
            </w:r>
          </w:p>
        </w:tc>
      </w:tr>
      <w:tr>
        <w:tblPrEx>
          <w:tblCellMar>
            <w:top w:w="0" w:type="dxa"/>
            <w:left w:w="108" w:type="dxa"/>
            <w:bottom w:w="0" w:type="dxa"/>
            <w:right w:w="108" w:type="dxa"/>
          </w:tblCellMar>
        </w:tblPrEx>
        <w:trPr>
          <w:trHeight w:val="477" w:hRule="atLeast"/>
        </w:trPr>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sz w:val="20"/>
                <w:szCs w:val="20"/>
              </w:rPr>
            </w:pPr>
            <w:r>
              <w:rPr>
                <w:rFonts w:hint="eastAsia" w:ascii="宋体" w:hAnsi="宋体" w:eastAsia="宋体" w:cs="宋体"/>
                <w:sz w:val="22"/>
                <w:szCs w:val="22"/>
              </w:rPr>
              <w:t>25</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质量指标</w:t>
            </w:r>
          </w:p>
        </w:tc>
        <w:tc>
          <w:tcPr>
            <w:tcW w:w="20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死因监测数据规范报告率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&gt;80%</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ascii="宋体" w:hAnsi="宋体" w:eastAsia="宋体" w:cs="宋体"/>
                <w:sz w:val="20"/>
                <w:szCs w:val="20"/>
              </w:rPr>
              <w:t>94.12%</w:t>
            </w:r>
          </w:p>
        </w:tc>
      </w:tr>
    </w:tbl>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pStyle w:val="3"/>
        <w:spacing w:after="0"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（1）可持续影响效益指标</w:t>
      </w:r>
    </w:p>
    <w:p>
      <w:pPr>
        <w:pStyle w:val="3"/>
        <w:spacing w:after="0"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2023年北京市重大传染病防控经费转移支付项目设定的可持续影响效益指标共1项，预期目标已全部完成。具体情况见下表</w:t>
      </w:r>
      <w:r>
        <w:rPr>
          <w:rFonts w:hint="eastAsia" w:ascii="仿宋_GB2312" w:hAnsi="仿宋" w:eastAsia="仿宋_GB2312"/>
          <w:sz w:val="32"/>
          <w:szCs w:val="32"/>
          <w:lang w:val="en-US" w:eastAsia="zh-CN"/>
        </w:rPr>
        <w:t>3</w:t>
      </w:r>
      <w:r>
        <w:rPr>
          <w:rFonts w:ascii="仿宋_GB2312" w:hAnsi="仿宋" w:eastAsia="仿宋_GB2312"/>
          <w:sz w:val="32"/>
          <w:szCs w:val="32"/>
        </w:rPr>
        <w:t>：</w:t>
      </w:r>
    </w:p>
    <w:p>
      <w:pPr>
        <w:pStyle w:val="3"/>
        <w:widowControl w:val="0"/>
        <w:kinsoku/>
        <w:autoSpaceDE/>
        <w:autoSpaceDN/>
        <w:adjustRightInd/>
        <w:snapToGrid/>
        <w:spacing w:after="0" w:line="240" w:lineRule="auto"/>
        <w:ind w:firstLine="560"/>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3</w:t>
      </w:r>
      <w:r>
        <w:rPr>
          <w:rFonts w:hint="eastAsia" w:ascii="仿宋_GB2312" w:hAnsi="仿宋_GB2312" w:eastAsia="仿宋_GB2312" w:cs="仿宋_GB2312"/>
          <w:snapToGrid/>
          <w:kern w:val="2"/>
          <w:sz w:val="28"/>
          <w:szCs w:val="28"/>
        </w:rPr>
        <w:t>：可持续影响效益指标完成情况表</w:t>
      </w:r>
    </w:p>
    <w:tbl>
      <w:tblPr>
        <w:tblStyle w:val="10"/>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2"/>
        <w:gridCol w:w="1718"/>
        <w:gridCol w:w="2632"/>
        <w:gridCol w:w="1865"/>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blHeader/>
          <w:jc w:val="center"/>
        </w:trPr>
        <w:tc>
          <w:tcPr>
            <w:tcW w:w="612"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序号</w:t>
            </w:r>
          </w:p>
        </w:tc>
        <w:tc>
          <w:tcPr>
            <w:tcW w:w="1718"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指标类型</w:t>
            </w:r>
          </w:p>
        </w:tc>
        <w:tc>
          <w:tcPr>
            <w:tcW w:w="2632"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三级指标</w:t>
            </w:r>
          </w:p>
        </w:tc>
        <w:tc>
          <w:tcPr>
            <w:tcW w:w="1865"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指标值</w:t>
            </w:r>
          </w:p>
        </w:tc>
        <w:tc>
          <w:tcPr>
            <w:tcW w:w="1633"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1</w:t>
            </w:r>
          </w:p>
        </w:tc>
        <w:tc>
          <w:tcPr>
            <w:tcW w:w="1718"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可持续影响指标</w:t>
            </w:r>
          </w:p>
        </w:tc>
        <w:tc>
          <w:tcPr>
            <w:tcW w:w="2632"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艾滋病疫情处于低流行水平</w:t>
            </w:r>
          </w:p>
        </w:tc>
        <w:tc>
          <w:tcPr>
            <w:tcW w:w="186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中长期</w:t>
            </w:r>
          </w:p>
        </w:tc>
        <w:tc>
          <w:tcPr>
            <w:tcW w:w="163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中长期处于低流行水平</w:t>
            </w:r>
          </w:p>
        </w:tc>
      </w:tr>
    </w:tbl>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3.服务对象满意度指标完成情况分析</w:t>
      </w:r>
    </w:p>
    <w:p>
      <w:pPr>
        <w:pStyle w:val="3"/>
        <w:spacing w:after="0"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2023年北京市重大传染病防控经费转移支付设定的</w:t>
      </w:r>
      <w:r>
        <w:rPr>
          <w:rFonts w:hint="eastAsia" w:ascii="仿宋_GB2312" w:hAnsi="仿宋_GB2312" w:eastAsia="仿宋_GB2312" w:cs="仿宋_GB2312"/>
          <w:bCs/>
          <w:sz w:val="32"/>
          <w:szCs w:val="32"/>
        </w:rPr>
        <w:t>服务对象满意度指标</w:t>
      </w:r>
      <w:r>
        <w:rPr>
          <w:rFonts w:hint="eastAsia" w:ascii="仿宋_GB2312" w:hAnsi="仿宋" w:eastAsia="仿宋_GB2312"/>
          <w:sz w:val="32"/>
          <w:szCs w:val="32"/>
        </w:rPr>
        <w:t>共1项，预期目标已全部完成。具体情况见下表</w:t>
      </w:r>
      <w:r>
        <w:rPr>
          <w:rFonts w:hint="eastAsia" w:ascii="仿宋_GB2312" w:hAnsi="仿宋" w:eastAsia="仿宋_GB2312"/>
          <w:sz w:val="32"/>
          <w:szCs w:val="32"/>
          <w:lang w:val="en-US" w:eastAsia="zh-CN"/>
        </w:rPr>
        <w:t>4</w:t>
      </w:r>
      <w:r>
        <w:rPr>
          <w:rFonts w:ascii="仿宋_GB2312" w:hAnsi="仿宋" w:eastAsia="仿宋_GB2312"/>
          <w:sz w:val="32"/>
          <w:szCs w:val="32"/>
        </w:rPr>
        <w:t>：</w:t>
      </w:r>
    </w:p>
    <w:p>
      <w:pPr>
        <w:pStyle w:val="3"/>
        <w:widowControl w:val="0"/>
        <w:kinsoku/>
        <w:autoSpaceDE/>
        <w:autoSpaceDN/>
        <w:adjustRightInd/>
        <w:snapToGrid/>
        <w:spacing w:after="0" w:line="240" w:lineRule="auto"/>
        <w:ind w:firstLine="560"/>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4</w:t>
      </w:r>
      <w:r>
        <w:rPr>
          <w:rFonts w:hint="eastAsia" w:ascii="仿宋_GB2312" w:hAnsi="仿宋_GB2312" w:eastAsia="仿宋_GB2312" w:cs="仿宋_GB2312"/>
          <w:snapToGrid/>
          <w:kern w:val="2"/>
          <w:sz w:val="28"/>
          <w:szCs w:val="28"/>
        </w:rPr>
        <w:t>：服务对象满意度指标完成情况表</w:t>
      </w:r>
    </w:p>
    <w:tbl>
      <w:tblPr>
        <w:tblStyle w:val="10"/>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1592"/>
        <w:gridCol w:w="2513"/>
        <w:gridCol w:w="1984"/>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38"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序号</w:t>
            </w:r>
          </w:p>
        </w:tc>
        <w:tc>
          <w:tcPr>
            <w:tcW w:w="1592"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三级指标</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指标值</w:t>
            </w:r>
          </w:p>
        </w:tc>
        <w:tc>
          <w:tcPr>
            <w:tcW w:w="1633" w:type="dxa"/>
            <w:tcBorders>
              <w:top w:val="single" w:color="auto" w:sz="4" w:space="0"/>
              <w:left w:val="single" w:color="auto" w:sz="4" w:space="0"/>
              <w:bottom w:val="single" w:color="auto" w:sz="4" w:space="0"/>
              <w:right w:val="single" w:color="auto" w:sz="4" w:space="0"/>
            </w:tcBorders>
            <w:shd w:val="clear" w:color="auto" w:fill="A6A6A6"/>
            <w:vAlign w:val="center"/>
          </w:tcPr>
          <w:p>
            <w:pPr>
              <w:spacing w:line="240" w:lineRule="atLeast"/>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1</w:t>
            </w:r>
          </w:p>
        </w:tc>
        <w:tc>
          <w:tcPr>
            <w:tcW w:w="1592"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251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哨点医院培训满意度</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63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eastAsia="宋体" w:cs="宋体"/>
                <w:sz w:val="20"/>
                <w:szCs w:val="20"/>
              </w:rPr>
            </w:pPr>
            <w:r>
              <w:rPr>
                <w:rFonts w:ascii="宋体" w:hAnsi="宋体" w:eastAsia="宋体" w:cs="宋体"/>
                <w:sz w:val="20"/>
                <w:szCs w:val="20"/>
              </w:rPr>
              <w:t>96%</w:t>
            </w:r>
          </w:p>
        </w:tc>
      </w:tr>
    </w:tbl>
    <w:p>
      <w:pPr>
        <w:spacing w:line="580" w:lineRule="exact"/>
        <w:ind w:firstLine="628" w:firstLineChars="200"/>
        <w:outlineLvl w:val="1"/>
        <w:rPr>
          <w:rFonts w:ascii="黑体" w:hAnsi="黑体" w:eastAsia="黑体" w:cs="黑体"/>
          <w:sz w:val="32"/>
          <w:szCs w:val="32"/>
        </w:rPr>
      </w:pPr>
      <w:r>
        <w:rPr>
          <w:rFonts w:ascii="黑体" w:hAnsi="黑体" w:eastAsia="黑体" w:cs="黑体"/>
          <w:bCs/>
          <w:spacing w:val="-3"/>
          <w:sz w:val="32"/>
          <w:szCs w:val="32"/>
        </w:rPr>
        <w:t>三、</w:t>
      </w:r>
      <w:r>
        <w:rPr>
          <w:rFonts w:ascii="黑体" w:hAnsi="黑体" w:eastAsia="黑体" w:cs="黑体"/>
          <w:spacing w:val="-55"/>
          <w:sz w:val="32"/>
          <w:szCs w:val="32"/>
        </w:rPr>
        <w:t xml:space="preserve"> </w:t>
      </w:r>
      <w:r>
        <w:rPr>
          <w:rFonts w:ascii="黑体" w:hAnsi="黑体" w:eastAsia="黑体" w:cs="黑体"/>
          <w:bCs/>
          <w:spacing w:val="-3"/>
          <w:sz w:val="32"/>
          <w:szCs w:val="32"/>
        </w:rPr>
        <w:t>偏离绩效目标的原因和下一步改进措施</w:t>
      </w:r>
    </w:p>
    <w:p>
      <w:pPr>
        <w:pStyle w:val="5"/>
        <w:spacing w:line="580" w:lineRule="exact"/>
        <w:ind w:firstLine="640" w:firstLineChars="200"/>
        <w:rPr>
          <w:rFonts w:ascii="楷体" w:hAnsi="楷体" w:eastAsia="楷体" w:cs="楷体"/>
          <w:bCs/>
          <w:kern w:val="2"/>
          <w:sz w:val="32"/>
          <w:szCs w:val="32"/>
        </w:rPr>
      </w:pPr>
      <w:bookmarkStart w:id="3" w:name="_Toc100612294_WPSOffice_Level2"/>
      <w:r>
        <w:rPr>
          <w:rFonts w:hint="eastAsia" w:ascii="楷体" w:hAnsi="楷体" w:eastAsia="楷体" w:cs="楷体"/>
          <w:bCs/>
          <w:kern w:val="2"/>
          <w:sz w:val="32"/>
          <w:szCs w:val="32"/>
        </w:rPr>
        <w:t>（一）</w:t>
      </w:r>
      <w:bookmarkEnd w:id="3"/>
      <w:r>
        <w:rPr>
          <w:rFonts w:hint="eastAsia" w:ascii="楷体" w:hAnsi="楷体" w:eastAsia="楷体" w:cs="楷体"/>
          <w:bCs/>
          <w:kern w:val="2"/>
          <w:sz w:val="32"/>
          <w:szCs w:val="32"/>
        </w:rPr>
        <w:t>偏离绩效目标的原因</w:t>
      </w:r>
      <w:bookmarkStart w:id="8" w:name="_GoBack"/>
      <w:bookmarkEnd w:id="8"/>
    </w:p>
    <w:p>
      <w:pPr>
        <w:kinsoku/>
        <w:autoSpaceDE/>
        <w:autoSpaceDN/>
        <w:adjustRightInd/>
        <w:snapToGrid/>
        <w:spacing w:line="580" w:lineRule="exact"/>
        <w:ind w:firstLine="640" w:firstLineChars="200"/>
        <w:jc w:val="both"/>
        <w:textAlignment w:val="auto"/>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综合本次绩效评价工作绩效目标、绩效指标完成情况，2023年北京市重大传染病防控经费转移支付共设置31项绩效指标，已实现30项预期绩效目标。预期绩效目标涉及“灭螺任务完成率≥90%”，但是由于北京市非血吸虫病查灭螺流行省份，不涉及相关工作，故未开展相关工作。</w:t>
      </w:r>
    </w:p>
    <w:p>
      <w:pPr>
        <w:pStyle w:val="5"/>
        <w:spacing w:line="580" w:lineRule="exact"/>
        <w:ind w:firstLine="640" w:firstLineChars="200"/>
        <w:rPr>
          <w:rFonts w:ascii="楷体" w:hAnsi="楷体" w:eastAsia="楷体" w:cs="楷体"/>
          <w:bCs/>
          <w:kern w:val="2"/>
          <w:sz w:val="32"/>
          <w:szCs w:val="32"/>
        </w:rPr>
      </w:pPr>
      <w:bookmarkStart w:id="4" w:name="_Toc921195069_WPSOffice_Level2"/>
      <w:r>
        <w:rPr>
          <w:rFonts w:hint="eastAsia" w:ascii="楷体" w:hAnsi="楷体" w:eastAsia="楷体" w:cs="楷体"/>
          <w:bCs/>
          <w:kern w:val="2"/>
          <w:sz w:val="32"/>
          <w:szCs w:val="32"/>
        </w:rPr>
        <w:t>（</w:t>
      </w:r>
      <w:r>
        <w:rPr>
          <w:rFonts w:hint="eastAsia" w:ascii="楷体" w:hAnsi="楷体" w:eastAsia="楷体" w:cs="楷体"/>
          <w:bCs/>
          <w:kern w:val="2"/>
          <w:sz w:val="32"/>
          <w:szCs w:val="32"/>
          <w:lang w:val="en-US" w:eastAsia="zh-CN"/>
        </w:rPr>
        <w:t>二</w:t>
      </w:r>
      <w:r>
        <w:rPr>
          <w:rFonts w:hint="eastAsia" w:ascii="楷体" w:hAnsi="楷体" w:eastAsia="楷体" w:cs="楷体"/>
          <w:bCs/>
          <w:kern w:val="2"/>
          <w:sz w:val="32"/>
          <w:szCs w:val="32"/>
        </w:rPr>
        <w:t>）下一步改进措施</w:t>
      </w:r>
      <w:bookmarkEnd w:id="4"/>
      <w:r>
        <w:rPr>
          <w:rFonts w:hint="eastAsia" w:ascii="楷体" w:hAnsi="楷体" w:eastAsia="楷体" w:cs="楷体"/>
          <w:bCs/>
          <w:kern w:val="2"/>
          <w:sz w:val="32"/>
          <w:szCs w:val="32"/>
        </w:rPr>
        <w:t xml:space="preserve">   </w:t>
      </w:r>
    </w:p>
    <w:p>
      <w:pPr>
        <w:pStyle w:val="2"/>
        <w:spacing w:line="580" w:lineRule="exact"/>
        <w:ind w:firstLine="640" w:firstLineChars="200"/>
        <w:rPr>
          <w:rFonts w:ascii="仿宋_GB2312" w:hAnsi="仿宋_GB2312" w:cs="仿宋_GB2312"/>
          <w:sz w:val="32"/>
          <w:szCs w:val="32"/>
        </w:rPr>
      </w:pPr>
      <w:r>
        <w:rPr>
          <w:rFonts w:hint="eastAsia" w:ascii="仿宋_GB2312" w:hAnsi="仿宋_GB2312" w:cs="仿宋_GB2312"/>
          <w:bCs w:val="0"/>
          <w:snapToGrid/>
          <w:kern w:val="2"/>
          <w:sz w:val="32"/>
          <w:szCs w:val="32"/>
        </w:rPr>
        <w:t>1.强化项目监管，压实管理责任。下一步将持续强化中央转移支付资金项目全流程管理，推动项目管理责任落实，聚焦项目绩效目标管理，根据完成情况及时纠偏，不断压实部门项目执行和绩效管理职责。</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2.优化资金分配，完善资金执行。严格落实中央转移支付资金管理文件要求，</w:t>
      </w:r>
      <w:r>
        <w:rPr>
          <w:rFonts w:hint="eastAsia" w:ascii="仿宋_GB2312" w:hAnsi="仿宋_GB2312" w:eastAsia="仿宋_GB2312" w:cs="仿宋_GB2312"/>
          <w:sz w:val="32"/>
          <w:szCs w:val="32"/>
        </w:rPr>
        <w:t>切实增强资金使用单位支出进度意识，提高中央转移支付资金使用效益，及时下达、拨付项目资金，不断深化项目资金执行监督，持续强化项目预算执行硬约束。同时强化绩效评价结果应用，提升资金精细化管理程度，促使财政资金使用提质增效。</w:t>
      </w:r>
    </w:p>
    <w:p>
      <w:pPr>
        <w:spacing w:line="580" w:lineRule="exact"/>
        <w:ind w:firstLine="640" w:firstLineChars="200"/>
        <w:outlineLvl w:val="1"/>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3.重视资料归集，充分呈现产出成果。积极推进项目管理资料归集整理工作，不断强化项目绩效管理意识。按照事前、事中、事后全流程管理思路，重点聚焦项目计划、项目实施过程监督、项目结项评价，做好工作资料归集建档，为项目绩效评价管理工作推进奠定基础。</w:t>
      </w:r>
    </w:p>
    <w:p>
      <w:pPr>
        <w:spacing w:line="580" w:lineRule="exact"/>
        <w:ind w:firstLine="620" w:firstLineChars="200"/>
        <w:outlineLvl w:val="1"/>
        <w:rPr>
          <w:rFonts w:ascii="黑体" w:hAnsi="黑体" w:eastAsia="黑体" w:cs="黑体"/>
          <w:sz w:val="32"/>
          <w:szCs w:val="32"/>
        </w:rPr>
      </w:pPr>
      <w:r>
        <w:rPr>
          <w:rFonts w:ascii="黑体" w:hAnsi="黑体" w:eastAsia="黑体" w:cs="黑体"/>
          <w:bCs/>
          <w:spacing w:val="-5"/>
          <w:sz w:val="32"/>
          <w:szCs w:val="32"/>
        </w:rPr>
        <w:t>四、</w:t>
      </w:r>
      <w:r>
        <w:rPr>
          <w:rFonts w:ascii="黑体" w:hAnsi="黑体" w:eastAsia="黑体" w:cs="黑体"/>
          <w:spacing w:val="-55"/>
          <w:sz w:val="32"/>
          <w:szCs w:val="32"/>
        </w:rPr>
        <w:t xml:space="preserve"> </w:t>
      </w:r>
      <w:r>
        <w:rPr>
          <w:rFonts w:ascii="黑体" w:hAnsi="黑体" w:eastAsia="黑体" w:cs="黑体"/>
          <w:bCs/>
          <w:spacing w:val="-5"/>
          <w:sz w:val="32"/>
          <w:szCs w:val="32"/>
        </w:rPr>
        <w:t>绩效自评结果拟应用和公开情况</w:t>
      </w:r>
    </w:p>
    <w:p>
      <w:pPr>
        <w:pStyle w:val="5"/>
        <w:spacing w:line="580" w:lineRule="exact"/>
        <w:ind w:firstLine="640" w:firstLineChars="200"/>
        <w:rPr>
          <w:rFonts w:ascii="楷体" w:hAnsi="楷体" w:eastAsia="楷体" w:cs="楷体"/>
          <w:bCs/>
          <w:kern w:val="2"/>
          <w:sz w:val="32"/>
          <w:szCs w:val="32"/>
        </w:rPr>
      </w:pPr>
      <w:bookmarkStart w:id="5" w:name="_Toc1770925414_WPSOffice_Level2"/>
      <w:r>
        <w:rPr>
          <w:rFonts w:hint="eastAsia" w:ascii="楷体" w:hAnsi="楷体" w:eastAsia="楷体" w:cs="楷体"/>
          <w:bCs/>
          <w:kern w:val="2"/>
          <w:sz w:val="32"/>
          <w:szCs w:val="32"/>
        </w:rPr>
        <w:t>（一）绩效自评结果</w:t>
      </w:r>
      <w:bookmarkEnd w:id="5"/>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snapToGrid/>
          <w:color w:val="FF0000"/>
          <w:kern w:val="2"/>
          <w:sz w:val="32"/>
          <w:szCs w:val="32"/>
        </w:rPr>
      </w:pPr>
      <w:r>
        <w:rPr>
          <w:rFonts w:hint="eastAsia" w:ascii="仿宋_GB2312" w:hAnsi="仿宋_GB2312" w:eastAsia="仿宋_GB2312" w:cs="仿宋_GB2312"/>
          <w:snapToGrid/>
          <w:kern w:val="2"/>
          <w:sz w:val="32"/>
          <w:szCs w:val="32"/>
        </w:rPr>
        <w:t>截至目前，北京市2023年度中央转移支付及直达资金项目自评工作已全部完成，自评表中共设置31项指标，已实现30项预期绩效目标，由于北京市非血吸虫病查灭螺流行省份，1项指标“灭螺任务完成率≥90%”未开展相关工作。</w:t>
      </w:r>
    </w:p>
    <w:p>
      <w:pPr>
        <w:pStyle w:val="5"/>
        <w:spacing w:line="580" w:lineRule="exact"/>
        <w:ind w:firstLine="640" w:firstLineChars="200"/>
        <w:rPr>
          <w:rFonts w:ascii="楷体" w:hAnsi="楷体" w:eastAsia="楷体" w:cs="楷体"/>
          <w:bCs/>
          <w:kern w:val="2"/>
          <w:sz w:val="32"/>
          <w:szCs w:val="32"/>
        </w:rPr>
      </w:pPr>
      <w:bookmarkStart w:id="6" w:name="_Toc1967569325_WPSOffice_Level2"/>
      <w:r>
        <w:rPr>
          <w:rFonts w:hint="eastAsia" w:ascii="楷体" w:hAnsi="楷体" w:eastAsia="楷体" w:cs="楷体"/>
          <w:bCs/>
          <w:kern w:val="2"/>
          <w:sz w:val="32"/>
          <w:szCs w:val="32"/>
        </w:rPr>
        <w:t>（二）绩效自评结果应用</w:t>
      </w:r>
      <w:bookmarkEnd w:id="6"/>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color w:val="FF0000"/>
          <w:kern w:val="2"/>
          <w:sz w:val="32"/>
          <w:szCs w:val="32"/>
        </w:rPr>
      </w:pPr>
      <w:r>
        <w:rPr>
          <w:rFonts w:hint="eastAsia" w:ascii="仿宋_GB2312" w:hAnsi="仿宋_GB2312" w:eastAsia="仿宋_GB2312" w:cs="仿宋_GB2312"/>
          <w:bCs/>
          <w:snapToGrid/>
          <w:kern w:val="2"/>
          <w:sz w:val="32"/>
          <w:szCs w:val="32"/>
        </w:rPr>
        <w:t>1.落实评价问题整改，推进项目执行</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rPr>
        <w:t>本次绩效评价后，北京市卫生健康委员会将整理项目存在问题清单，以通报或整改通知形式督促相关部门进行整改。同时，根据清单总结专项资金执行过程中常见问题，形成对策，与存在问题清单一并下发，为相关单位提供执行指引，减少问题，推进执行。</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rPr>
        <w:t>2.探索自评结果与预算安排挂钩，强化刚性约束</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本次绩效评价后，北京市卫生健康委员会将综合考量各单位预算执行情况、自评得分、自评工作质量等因素，建立评价结果与预算编制挂钩紧密衔接的激励约束机制，并结合实际将评价结果与下一年度中央转移支付及直达资金分配挂钩，作为安排下一年度资金项目的重要依据。</w:t>
      </w:r>
    </w:p>
    <w:p>
      <w:pPr>
        <w:pStyle w:val="5"/>
        <w:spacing w:line="580" w:lineRule="exact"/>
        <w:ind w:firstLine="640" w:firstLineChars="200"/>
        <w:rPr>
          <w:rFonts w:ascii="楷体" w:hAnsi="楷体" w:eastAsia="楷体" w:cs="楷体"/>
          <w:bCs/>
          <w:kern w:val="2"/>
          <w:sz w:val="32"/>
          <w:szCs w:val="32"/>
        </w:rPr>
      </w:pPr>
      <w:bookmarkStart w:id="7" w:name="_Toc1984448769_WPSOffice_Level2"/>
      <w:r>
        <w:rPr>
          <w:rFonts w:hint="eastAsia" w:ascii="楷体" w:hAnsi="楷体" w:eastAsia="楷体" w:cs="楷体"/>
          <w:bCs/>
          <w:kern w:val="2"/>
          <w:sz w:val="32"/>
          <w:szCs w:val="32"/>
        </w:rPr>
        <w:t>（三）绩效自评结果公开情况</w:t>
      </w:r>
      <w:bookmarkEnd w:id="7"/>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通过开展项目绩效评价，督促资金执行进度，提高资金使用效率，及时整理、归纳、分析、反馈绩效评价结果，北京市卫生健康委员会将相关结果呈报上级部门审核，并按预算公开要求依法依规进行公开。</w:t>
      </w:r>
    </w:p>
    <w:p>
      <w:pPr>
        <w:spacing w:line="580" w:lineRule="exact"/>
        <w:ind w:firstLine="616" w:firstLineChars="200"/>
        <w:outlineLvl w:val="1"/>
        <w:rPr>
          <w:rFonts w:ascii="黑体" w:hAnsi="黑体" w:eastAsia="黑体" w:cs="黑体"/>
          <w:bCs/>
          <w:sz w:val="32"/>
          <w:szCs w:val="32"/>
        </w:rPr>
      </w:pPr>
      <w:r>
        <w:rPr>
          <w:rFonts w:hint="eastAsia" w:ascii="黑体" w:hAnsi="黑体" w:eastAsia="黑体" w:cs="黑体"/>
          <w:bCs/>
          <w:spacing w:val="-6"/>
          <w:sz w:val="32"/>
          <w:szCs w:val="32"/>
        </w:rPr>
        <w:t>五、其他需要说明的问题</w:t>
      </w:r>
    </w:p>
    <w:p>
      <w:pPr>
        <w:spacing w:line="580" w:lineRule="exact"/>
        <w:ind w:firstLine="648" w:firstLineChars="200"/>
        <w:rPr>
          <w:rFonts w:ascii="仿宋" w:hAnsi="仿宋" w:eastAsia="仿宋" w:cs="仿宋"/>
          <w:sz w:val="32"/>
          <w:szCs w:val="32"/>
        </w:rPr>
      </w:pPr>
      <w:r>
        <w:rPr>
          <w:rFonts w:hint="eastAsia" w:ascii="仿宋" w:hAnsi="仿宋" w:eastAsia="仿宋" w:cs="仿宋"/>
          <w:spacing w:val="2"/>
          <w:sz w:val="32"/>
          <w:szCs w:val="32"/>
        </w:rPr>
        <w:t>无</w:t>
      </w:r>
      <w:r>
        <w:rPr>
          <w:rFonts w:ascii="仿宋" w:hAnsi="仿宋" w:eastAsia="仿宋" w:cs="仿宋"/>
          <w:spacing w:val="2"/>
          <w:sz w:val="32"/>
          <w:szCs w:val="32"/>
        </w:rPr>
        <w:t>。</w:t>
      </w:r>
    </w:p>
    <w:p>
      <w:pPr>
        <w:spacing w:line="580" w:lineRule="exact"/>
        <w:ind w:firstLine="616" w:firstLineChars="200"/>
        <w:outlineLvl w:val="1"/>
        <w:rPr>
          <w:rFonts w:ascii="黑体" w:hAnsi="黑体" w:eastAsia="黑体" w:cs="黑体"/>
          <w:bCs/>
          <w:spacing w:val="-6"/>
          <w:sz w:val="32"/>
          <w:szCs w:val="32"/>
        </w:rPr>
      </w:pPr>
      <w:r>
        <w:rPr>
          <w:rFonts w:ascii="黑体" w:hAnsi="黑体" w:eastAsia="黑体" w:cs="黑体"/>
          <w:bCs/>
          <w:spacing w:val="-6"/>
          <w:sz w:val="32"/>
          <w:szCs w:val="32"/>
        </w:rPr>
        <w:t>六、附件</w:t>
      </w:r>
    </w:p>
    <w:p>
      <w:pPr>
        <w:spacing w:line="580" w:lineRule="exact"/>
        <w:ind w:firstLine="648" w:firstLineChars="200"/>
        <w:rPr>
          <w:rFonts w:ascii="仿宋" w:hAnsi="仿宋" w:eastAsia="仿宋" w:cs="仿宋"/>
          <w:spacing w:val="2"/>
          <w:sz w:val="36"/>
          <w:szCs w:val="36"/>
        </w:rPr>
      </w:pPr>
      <w:r>
        <w:rPr>
          <w:rFonts w:hint="eastAsia" w:ascii="仿宋" w:hAnsi="仿宋" w:eastAsia="仿宋" w:cs="仿宋"/>
          <w:spacing w:val="2"/>
          <w:sz w:val="32"/>
          <w:szCs w:val="32"/>
          <w:lang w:val="en-US" w:eastAsia="zh-CN"/>
        </w:rPr>
        <w:t>2023年北京市</w:t>
      </w:r>
      <w:r>
        <w:rPr>
          <w:rFonts w:hint="eastAsia" w:ascii="仿宋" w:hAnsi="仿宋" w:eastAsia="仿宋" w:cs="仿宋"/>
          <w:spacing w:val="2"/>
          <w:sz w:val="32"/>
          <w:szCs w:val="32"/>
        </w:rPr>
        <w:t>重大传染病防控经费</w:t>
      </w:r>
      <w:r>
        <w:rPr>
          <w:rFonts w:ascii="仿宋" w:hAnsi="仿宋" w:eastAsia="仿宋" w:cs="仿宋"/>
          <w:spacing w:val="2"/>
          <w:sz w:val="32"/>
          <w:szCs w:val="32"/>
        </w:rPr>
        <w:t>转移支付区域</w:t>
      </w:r>
      <w:r>
        <w:rPr>
          <w:rFonts w:hint="eastAsia" w:ascii="仿宋" w:hAnsi="仿宋" w:eastAsia="仿宋" w:cs="仿宋"/>
          <w:spacing w:val="2"/>
          <w:sz w:val="32"/>
          <w:szCs w:val="32"/>
        </w:rPr>
        <w:t>（</w:t>
      </w:r>
      <w:r>
        <w:rPr>
          <w:rFonts w:ascii="仿宋" w:hAnsi="仿宋" w:eastAsia="仿宋" w:cs="仿宋"/>
          <w:spacing w:val="2"/>
          <w:sz w:val="32"/>
          <w:szCs w:val="32"/>
        </w:rPr>
        <w:t>项目</w:t>
      </w:r>
      <w:r>
        <w:rPr>
          <w:rFonts w:hint="eastAsia" w:ascii="仿宋" w:hAnsi="仿宋" w:eastAsia="仿宋" w:cs="仿宋"/>
          <w:spacing w:val="2"/>
          <w:sz w:val="32"/>
          <w:szCs w:val="32"/>
        </w:rPr>
        <w:t>）</w:t>
      </w:r>
      <w:r>
        <w:rPr>
          <w:rFonts w:ascii="仿宋" w:hAnsi="仿宋" w:eastAsia="仿宋" w:cs="仿宋"/>
          <w:spacing w:val="2"/>
          <w:sz w:val="32"/>
          <w:szCs w:val="32"/>
        </w:rPr>
        <w:t>绩效目标自评表</w:t>
      </w:r>
    </w:p>
    <w:p>
      <w:pPr>
        <w:pStyle w:val="5"/>
        <w:spacing w:line="580" w:lineRule="exact"/>
        <w:ind w:firstLine="3888" w:firstLineChars="1200"/>
        <w:jc w:val="right"/>
        <w:rPr>
          <w:rFonts w:hint="eastAsia" w:ascii="仿宋_GB2312" w:hAnsi="仿宋_GB2312" w:eastAsia="仿宋_GB2312" w:cs="仿宋_GB2312"/>
          <w:spacing w:val="2"/>
          <w:sz w:val="32"/>
          <w:szCs w:val="32"/>
        </w:rPr>
      </w:pPr>
    </w:p>
    <w:p>
      <w:pPr>
        <w:pStyle w:val="5"/>
        <w:spacing w:line="580" w:lineRule="exact"/>
        <w:ind w:firstLine="3888" w:firstLineChars="1200"/>
        <w:jc w:val="right"/>
        <w:rPr>
          <w:rFonts w:hint="eastAsia" w:ascii="仿宋_GB2312" w:hAnsi="仿宋_GB2312" w:eastAsia="仿宋_GB2312" w:cs="仿宋_GB2312"/>
          <w:spacing w:val="2"/>
          <w:sz w:val="32"/>
          <w:szCs w:val="32"/>
        </w:rPr>
      </w:pPr>
    </w:p>
    <w:p>
      <w:pPr>
        <w:pStyle w:val="5"/>
        <w:spacing w:line="580" w:lineRule="exact"/>
        <w:ind w:firstLine="3888" w:firstLineChars="1200"/>
        <w:jc w:val="right"/>
        <w:rPr>
          <w:rFonts w:hint="eastAsia" w:ascii="仿宋_GB2312" w:hAnsi="仿宋_GB2312" w:eastAsia="仿宋_GB2312" w:cs="仿宋_GB2312"/>
          <w:spacing w:val="2"/>
          <w:sz w:val="32"/>
          <w:szCs w:val="32"/>
        </w:rPr>
      </w:pPr>
    </w:p>
    <w:p>
      <w:pPr>
        <w:pStyle w:val="5"/>
        <w:spacing w:line="580" w:lineRule="exact"/>
        <w:ind w:firstLine="3888" w:firstLineChars="1200"/>
        <w:jc w:val="right"/>
        <w:rPr>
          <w:rFonts w:hint="eastAsia" w:ascii="仿宋_GB2312" w:hAnsi="仿宋_GB2312" w:eastAsia="仿宋_GB2312" w:cs="仿宋_GB2312"/>
          <w:spacing w:val="2"/>
          <w:sz w:val="32"/>
          <w:szCs w:val="32"/>
        </w:rPr>
      </w:pPr>
    </w:p>
    <w:p>
      <w:pPr>
        <w:pStyle w:val="5"/>
        <w:spacing w:line="580" w:lineRule="exact"/>
        <w:ind w:firstLine="3888" w:firstLineChars="1200"/>
        <w:jc w:val="right"/>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北京市卫生健康委员会</w:t>
      </w:r>
    </w:p>
    <w:p>
      <w:pPr>
        <w:spacing w:line="560" w:lineRule="exact"/>
        <w:jc w:val="right"/>
        <w:outlineLvl w:val="1"/>
      </w:pPr>
      <w:r>
        <w:rPr>
          <w:rFonts w:hint="eastAsia" w:ascii="仿宋_GB2312" w:hAnsi="仿宋_GB2312" w:eastAsia="仿宋_GB2312" w:cs="仿宋_GB2312"/>
          <w:spacing w:val="2"/>
          <w:sz w:val="32"/>
          <w:szCs w:val="32"/>
        </w:rPr>
        <w:t>2024年3月2</w:t>
      </w:r>
      <w:r>
        <w:rPr>
          <w:rFonts w:hint="eastAsia" w:ascii="仿宋_GB2312" w:hAnsi="仿宋_GB2312" w:eastAsia="仿宋_GB2312" w:cs="仿宋_GB2312"/>
          <w:spacing w:val="2"/>
          <w:sz w:val="32"/>
          <w:szCs w:val="32"/>
          <w:lang w:val="en-US" w:eastAsia="zh-CN"/>
        </w:rPr>
        <w:t>7日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125736-E39A-4EC1-A91B-CBE6F7DBB7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74DA334-5767-4FD6-BB52-D217626C1664}"/>
  </w:font>
  <w:font w:name="方正小标宋简体">
    <w:panose1 w:val="02000000000000000000"/>
    <w:charset w:val="86"/>
    <w:family w:val="auto"/>
    <w:pitch w:val="default"/>
    <w:sig w:usb0="00000001" w:usb1="080E0000" w:usb2="00000000" w:usb3="00000000" w:csb0="00040000" w:csb1="00000000"/>
    <w:embedRegular r:id="rId3" w:fontKey="{D3CE7826-6D35-4E08-9C32-C3582D4A5D91}"/>
  </w:font>
  <w:font w:name="楷体_GB2312">
    <w:panose1 w:val="02010609030101010101"/>
    <w:charset w:val="86"/>
    <w:family w:val="modern"/>
    <w:pitch w:val="default"/>
    <w:sig w:usb0="00000001" w:usb1="080E0000" w:usb2="00000000" w:usb3="00000000" w:csb0="00040000" w:csb1="00000000"/>
    <w:embedRegular r:id="rId4" w:fontKey="{704C13E7-1403-4629-89BB-DE8BE914AA67}"/>
  </w:font>
  <w:font w:name="仿宋">
    <w:panose1 w:val="02010609060101010101"/>
    <w:charset w:val="86"/>
    <w:family w:val="modern"/>
    <w:pitch w:val="default"/>
    <w:sig w:usb0="800002BF" w:usb1="38CF7CFA" w:usb2="00000016" w:usb3="00000000" w:csb0="00040001" w:csb1="00000000"/>
    <w:embedRegular r:id="rId5" w:fontKey="{E5C659F4-866A-4785-96B2-ED23A0F4F0CA}"/>
  </w:font>
  <w:font w:name="等线">
    <w:panose1 w:val="02010600030101010101"/>
    <w:charset w:val="86"/>
    <w:family w:val="auto"/>
    <w:pitch w:val="default"/>
    <w:sig w:usb0="A00002BF" w:usb1="38CF7CFA" w:usb2="00000016" w:usb3="00000000" w:csb0="0004000F" w:csb1="00000000"/>
    <w:embedRegular r:id="rId6" w:fontKey="{5BDBFC71-0352-49C3-914E-B0E99DC7CF55}"/>
  </w:font>
  <w:font w:name="楷体">
    <w:panose1 w:val="02010609060101010101"/>
    <w:charset w:val="86"/>
    <w:family w:val="modern"/>
    <w:pitch w:val="default"/>
    <w:sig w:usb0="800002BF" w:usb1="38CF7CFA" w:usb2="00000016" w:usb3="00000000" w:csb0="00040001" w:csb1="00000000"/>
    <w:embedRegular r:id="rId7" w:fontKey="{1C18DEC5-2DE6-4319-BFF9-C32E7F42D2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25</w:t>
    </w:r>
    <w:r>
      <w:rPr>
        <w:rFonts w:ascii="宋体" w:hAnsi="宋体" w:eastAsia="宋体"/>
        <w:sz w:val="28"/>
        <w:szCs w:val="28"/>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1YzNhMDM0NzVmZjc2Njk3YzFmNDk3NzNkYjRmOWIifQ=="/>
  </w:docVars>
  <w:rsids>
    <w:rsidRoot w:val="00D5795B"/>
    <w:rsid w:val="000018D3"/>
    <w:rsid w:val="00043A68"/>
    <w:rsid w:val="00055311"/>
    <w:rsid w:val="00094ED4"/>
    <w:rsid w:val="000C1875"/>
    <w:rsid w:val="000F6418"/>
    <w:rsid w:val="000F674B"/>
    <w:rsid w:val="00111402"/>
    <w:rsid w:val="00164199"/>
    <w:rsid w:val="00175BD9"/>
    <w:rsid w:val="00176711"/>
    <w:rsid w:val="001F1531"/>
    <w:rsid w:val="00211169"/>
    <w:rsid w:val="00211C7B"/>
    <w:rsid w:val="0021300D"/>
    <w:rsid w:val="00246F48"/>
    <w:rsid w:val="00270635"/>
    <w:rsid w:val="002771C8"/>
    <w:rsid w:val="002B2C2F"/>
    <w:rsid w:val="002E0AB2"/>
    <w:rsid w:val="003B1A29"/>
    <w:rsid w:val="003D3568"/>
    <w:rsid w:val="004055E6"/>
    <w:rsid w:val="004408FF"/>
    <w:rsid w:val="00480646"/>
    <w:rsid w:val="005604C6"/>
    <w:rsid w:val="005A301E"/>
    <w:rsid w:val="005B797D"/>
    <w:rsid w:val="005D12CC"/>
    <w:rsid w:val="005F2DF2"/>
    <w:rsid w:val="006B0A92"/>
    <w:rsid w:val="006D10EE"/>
    <w:rsid w:val="007254B3"/>
    <w:rsid w:val="0074513A"/>
    <w:rsid w:val="007C4385"/>
    <w:rsid w:val="0080282B"/>
    <w:rsid w:val="00982EDC"/>
    <w:rsid w:val="009969CB"/>
    <w:rsid w:val="009A1EC4"/>
    <w:rsid w:val="009E0A73"/>
    <w:rsid w:val="00A1519C"/>
    <w:rsid w:val="00A805C0"/>
    <w:rsid w:val="00AE5FCA"/>
    <w:rsid w:val="00B94B30"/>
    <w:rsid w:val="00BE2B6D"/>
    <w:rsid w:val="00C1349D"/>
    <w:rsid w:val="00C14757"/>
    <w:rsid w:val="00C24DF6"/>
    <w:rsid w:val="00D158C4"/>
    <w:rsid w:val="00D2716F"/>
    <w:rsid w:val="00D5795B"/>
    <w:rsid w:val="00DE11A7"/>
    <w:rsid w:val="00E24224"/>
    <w:rsid w:val="00ED5870"/>
    <w:rsid w:val="00F0473B"/>
    <w:rsid w:val="00F2718D"/>
    <w:rsid w:val="00F6586A"/>
    <w:rsid w:val="00F66522"/>
    <w:rsid w:val="00FA10E4"/>
    <w:rsid w:val="00FE745A"/>
    <w:rsid w:val="1D1513A6"/>
    <w:rsid w:val="1E642054"/>
    <w:rsid w:val="24293B63"/>
    <w:rsid w:val="2C6425E2"/>
    <w:rsid w:val="4C0E44A0"/>
    <w:rsid w:val="5A363B1B"/>
    <w:rsid w:val="6B2B0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index 9"/>
    <w:basedOn w:val="1"/>
    <w:next w:val="1"/>
    <w:autoRedefine/>
    <w:qFormat/>
    <w:uiPriority w:val="99"/>
    <w:pPr>
      <w:ind w:firstLine="420"/>
    </w:pPr>
    <w:rPr>
      <w:rFonts w:eastAsia="仿宋_GB2312"/>
      <w:bCs/>
      <w:sz w:val="28"/>
      <w:szCs w:val="28"/>
    </w:rPr>
  </w:style>
  <w:style w:type="paragraph" w:styleId="3">
    <w:name w:val="Body Text"/>
    <w:basedOn w:val="1"/>
    <w:next w:val="1"/>
    <w:autoRedefine/>
    <w:qFormat/>
    <w:uiPriority w:val="0"/>
    <w:pPr>
      <w:spacing w:after="120" w:line="360" w:lineRule="auto"/>
    </w:pPr>
  </w:style>
  <w:style w:type="paragraph" w:styleId="4">
    <w:name w:val="Body Text Indent"/>
    <w:basedOn w:val="1"/>
    <w:autoRedefine/>
    <w:qFormat/>
    <w:uiPriority w:val="99"/>
    <w:pPr>
      <w:spacing w:before="100" w:beforeAutospacing="1" w:after="100" w:afterAutospacing="1"/>
    </w:pPr>
    <w:rPr>
      <w:rFonts w:hint="eastAsia" w:ascii="宋体" w:hAnsi="宋体"/>
      <w:sz w:val="24"/>
      <w:szCs w:val="24"/>
    </w:rPr>
  </w:style>
  <w:style w:type="paragraph" w:styleId="5">
    <w:name w:val="Plain Text"/>
    <w:basedOn w:val="1"/>
    <w:link w:val="21"/>
    <w:autoRedefine/>
    <w:qFormat/>
    <w:uiPriority w:val="99"/>
    <w:rPr>
      <w:rFonts w:ascii="宋体" w:hAnsi="Courier New"/>
    </w:rPr>
  </w:style>
  <w:style w:type="paragraph" w:styleId="6">
    <w:name w:val="footer"/>
    <w:basedOn w:val="1"/>
    <w:link w:val="17"/>
    <w:autoRedefine/>
    <w:qFormat/>
    <w:uiPriority w:val="99"/>
    <w:pPr>
      <w:tabs>
        <w:tab w:val="center" w:pos="4153"/>
        <w:tab w:val="right" w:pos="8306"/>
      </w:tabs>
    </w:pPr>
    <w:rPr>
      <w:sz w:val="18"/>
      <w:szCs w:val="18"/>
    </w:rPr>
  </w:style>
  <w:style w:type="paragraph" w:styleId="7">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0"/>
    <w:pPr>
      <w:spacing w:beforeAutospacing="1" w:afterAutospacing="1"/>
    </w:pPr>
    <w:rPr>
      <w:rFonts w:cs="Times New Roman"/>
      <w:sz w:val="24"/>
    </w:rPr>
  </w:style>
  <w:style w:type="table" w:styleId="10">
    <w:name w:val="Table Grid"/>
    <w:basedOn w:val="9"/>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Body text|2"/>
    <w:basedOn w:val="1"/>
    <w:autoRedefine/>
    <w:qFormat/>
    <w:uiPriority w:val="0"/>
    <w:pPr>
      <w:spacing w:line="590" w:lineRule="exact"/>
      <w:ind w:firstLine="580"/>
    </w:pPr>
    <w:rPr>
      <w:rFonts w:hint="eastAsia" w:ascii="宋体" w:hAnsi="宋体"/>
      <w:szCs w:val="24"/>
    </w:rPr>
  </w:style>
  <w:style w:type="table" w:customStyle="1" w:styleId="13">
    <w:name w:val="Table Normal"/>
    <w:autoRedefine/>
    <w:qFormat/>
    <w:uiPriority w:val="0"/>
    <w:tblPr>
      <w:tblCellMar>
        <w:top w:w="0" w:type="dxa"/>
        <w:left w:w="0" w:type="dxa"/>
        <w:bottom w:w="0" w:type="dxa"/>
        <w:right w:w="0" w:type="dxa"/>
      </w:tblCellMar>
    </w:tblPr>
  </w:style>
  <w:style w:type="character" w:customStyle="1" w:styleId="14">
    <w:name w:val="font21"/>
    <w:basedOn w:val="11"/>
    <w:autoRedefine/>
    <w:qFormat/>
    <w:uiPriority w:val="0"/>
    <w:rPr>
      <w:rFonts w:hint="eastAsia" w:ascii="宋体" w:hAnsi="宋体" w:eastAsia="宋体" w:cs="宋体"/>
      <w:color w:val="000000"/>
      <w:sz w:val="20"/>
      <w:szCs w:val="20"/>
      <w:u w:val="none"/>
    </w:rPr>
  </w:style>
  <w:style w:type="character" w:customStyle="1" w:styleId="15">
    <w:name w:val="font01"/>
    <w:basedOn w:val="11"/>
    <w:autoRedefine/>
    <w:qFormat/>
    <w:uiPriority w:val="0"/>
    <w:rPr>
      <w:rFonts w:hint="eastAsia" w:ascii="宋体" w:hAnsi="宋体" w:eastAsia="宋体" w:cs="宋体"/>
      <w:color w:val="000000"/>
      <w:sz w:val="20"/>
      <w:szCs w:val="20"/>
      <w:u w:val="none"/>
    </w:rPr>
  </w:style>
  <w:style w:type="character" w:customStyle="1" w:styleId="16">
    <w:name w:val="页眉 字符"/>
    <w:basedOn w:val="11"/>
    <w:link w:val="7"/>
    <w:autoRedefine/>
    <w:qFormat/>
    <w:uiPriority w:val="0"/>
    <w:rPr>
      <w:rFonts w:ascii="Arial" w:hAnsi="Arial" w:eastAsia="Arial" w:cs="Arial"/>
      <w:snapToGrid w:val="0"/>
      <w:color w:val="000000"/>
      <w:sz w:val="18"/>
      <w:szCs w:val="18"/>
    </w:rPr>
  </w:style>
  <w:style w:type="character" w:customStyle="1" w:styleId="17">
    <w:name w:val="页脚 字符"/>
    <w:basedOn w:val="11"/>
    <w:link w:val="6"/>
    <w:autoRedefine/>
    <w:qFormat/>
    <w:uiPriority w:val="99"/>
    <w:rPr>
      <w:rFonts w:ascii="Arial" w:hAnsi="Arial" w:eastAsia="Arial" w:cs="Arial"/>
      <w:snapToGrid w:val="0"/>
      <w:color w:val="000000"/>
      <w:sz w:val="18"/>
      <w:szCs w:val="18"/>
    </w:rPr>
  </w:style>
  <w:style w:type="character" w:customStyle="1" w:styleId="18">
    <w:name w:val="font11"/>
    <w:basedOn w:val="11"/>
    <w:autoRedefine/>
    <w:qFormat/>
    <w:uiPriority w:val="0"/>
    <w:rPr>
      <w:rFonts w:hint="eastAsia" w:ascii="宋体" w:hAnsi="宋体" w:eastAsia="宋体" w:cs="宋体"/>
      <w:color w:val="000000"/>
      <w:sz w:val="18"/>
      <w:szCs w:val="18"/>
      <w:u w:val="none"/>
    </w:rPr>
  </w:style>
  <w:style w:type="character" w:customStyle="1" w:styleId="19">
    <w:name w:val="font31"/>
    <w:basedOn w:val="11"/>
    <w:autoRedefine/>
    <w:qFormat/>
    <w:uiPriority w:val="0"/>
    <w:rPr>
      <w:rFonts w:hint="eastAsia" w:ascii="宋体" w:hAnsi="宋体" w:eastAsia="宋体" w:cs="宋体"/>
      <w:color w:val="000000"/>
      <w:sz w:val="22"/>
      <w:szCs w:val="22"/>
      <w:u w:val="none"/>
    </w:rPr>
  </w:style>
  <w:style w:type="paragraph" w:customStyle="1" w:styleId="20">
    <w:name w:val="Revision"/>
    <w:autoRedefine/>
    <w:hidden/>
    <w:unhideWhenUsed/>
    <w:qFormat/>
    <w:uiPriority w:val="99"/>
    <w:rPr>
      <w:rFonts w:ascii="Arial" w:hAnsi="Arial" w:eastAsia="Arial" w:cs="Arial"/>
      <w:snapToGrid w:val="0"/>
      <w:color w:val="000000"/>
      <w:sz w:val="21"/>
      <w:szCs w:val="21"/>
      <w:lang w:val="en-US" w:eastAsia="zh-CN" w:bidi="ar-SA"/>
    </w:rPr>
  </w:style>
  <w:style w:type="character" w:customStyle="1" w:styleId="21">
    <w:name w:val="纯文本 字符"/>
    <w:basedOn w:val="11"/>
    <w:link w:val="5"/>
    <w:autoRedefine/>
    <w:qFormat/>
    <w:uiPriority w:val="99"/>
    <w:rPr>
      <w:rFonts w:ascii="宋体" w:hAnsi="Courier New" w:eastAsia="Arial" w:cs="Arial"/>
      <w:snapToGrid w:val="0"/>
      <w:color w:val="000000"/>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57C74-8C01-433C-9029-D2F29DB27DE0}">
  <ds:schemaRefs/>
</ds:datastoreItem>
</file>

<file path=docProps/app.xml><?xml version="1.0" encoding="utf-8"?>
<Properties xmlns="http://schemas.openxmlformats.org/officeDocument/2006/extended-properties" xmlns:vt="http://schemas.openxmlformats.org/officeDocument/2006/docPropsVTypes">
  <Template>Normal</Template>
  <Pages>26</Pages>
  <Words>2302</Words>
  <Characters>13128</Characters>
  <Lines>109</Lines>
  <Paragraphs>30</Paragraphs>
  <TotalTime>13</TotalTime>
  <ScaleCrop>false</ScaleCrop>
  <LinksUpToDate>false</LinksUpToDate>
  <CharactersWithSpaces>15400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2023-03-26T07:27:00Z</dcterms:created>
  <dc:creator>WPS_1599385647</dc:creator>
  <cp:lastModifiedBy>WPS_1599385647</cp:lastModifiedBy>
  <cp:lastPrinted>2023-05-16T23:20:00Z</cp:lastPrinted>
  <dcterms:modified xsi:type="dcterms:W3CDTF">2024-03-27T07:03:17Z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2C85317615684B8BB4012C5D894B870F_13</vt:lpwstr>
  </property>
</Properties>
</file>