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652"/>
        <w:gridCol w:w="726"/>
        <w:gridCol w:w="734"/>
        <w:gridCol w:w="776"/>
        <w:gridCol w:w="1195"/>
        <w:gridCol w:w="726"/>
        <w:gridCol w:w="680"/>
        <w:gridCol w:w="1030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296" w:type="dxa"/>
            <w:gridSpan w:val="10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项目支出绩效目标申报表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296" w:type="dxa"/>
            <w:gridSpan w:val="10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（2018年度）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</w:tcPr>
          <w:p>
            <w:pPr>
              <w:rPr>
                <w:rFonts w:hint="eastAsia"/>
              </w:rPr>
            </w:pPr>
            <w:bookmarkStart w:id="0" w:name="_GoBack" w:colFirst="2" w:colLast="7"/>
            <w:r>
              <w:rPr>
                <w:rFonts w:hint="eastAsia"/>
              </w:rPr>
              <w:t>项目名称</w:t>
            </w:r>
          </w:p>
        </w:tc>
        <w:tc>
          <w:tcPr>
            <w:tcW w:w="7062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儿童青少年心血管健康、骨健康及代谢异常监测及研发应用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主管部门及代码</w:t>
            </w:r>
          </w:p>
        </w:tc>
        <w:tc>
          <w:tcPr>
            <w:tcW w:w="3431" w:type="dxa"/>
            <w:gridSpan w:val="4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北京市卫生和计划生育委员会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实施单位</w:t>
            </w:r>
          </w:p>
        </w:tc>
        <w:tc>
          <w:tcPr>
            <w:tcW w:w="222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首都儿科研究所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项目属性</w:t>
            </w:r>
          </w:p>
        </w:tc>
        <w:tc>
          <w:tcPr>
            <w:tcW w:w="3431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课题研究类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项目期</w:t>
            </w:r>
          </w:p>
        </w:tc>
        <w:tc>
          <w:tcPr>
            <w:tcW w:w="222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2017-2019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项目资金 （万元）</w:t>
            </w:r>
          </w:p>
        </w:tc>
        <w:tc>
          <w:tcPr>
            <w:tcW w:w="14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中期资金总额：</w:t>
            </w:r>
          </w:p>
        </w:tc>
        <w:tc>
          <w:tcPr>
            <w:tcW w:w="1971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794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年度资金总额：</w:t>
            </w:r>
          </w:p>
        </w:tc>
        <w:tc>
          <w:tcPr>
            <w:tcW w:w="222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  <w:vMerge w:val="continue"/>
          </w:tcPr>
          <w:p/>
        </w:tc>
        <w:tc>
          <w:tcPr>
            <w:tcW w:w="14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其中：财政拨款</w:t>
            </w:r>
          </w:p>
        </w:tc>
        <w:tc>
          <w:tcPr>
            <w:tcW w:w="1971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794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其中：财政拨款</w:t>
            </w:r>
          </w:p>
        </w:tc>
        <w:tc>
          <w:tcPr>
            <w:tcW w:w="222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132.6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34" w:type="dxa"/>
            <w:gridSpan w:val="2"/>
            <w:vMerge w:val="continue"/>
          </w:tcPr>
          <w:p/>
        </w:tc>
        <w:tc>
          <w:tcPr>
            <w:tcW w:w="146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其他资金</w:t>
            </w:r>
          </w:p>
        </w:tc>
        <w:tc>
          <w:tcPr>
            <w:tcW w:w="1971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1406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其他资金</w:t>
            </w:r>
          </w:p>
        </w:tc>
        <w:tc>
          <w:tcPr>
            <w:tcW w:w="2225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82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 体 目 标</w:t>
            </w:r>
          </w:p>
        </w:tc>
        <w:tc>
          <w:tcPr>
            <w:tcW w:w="4083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中期目标（2017年—2019年）</w:t>
            </w:r>
          </w:p>
        </w:tc>
        <w:tc>
          <w:tcPr>
            <w:tcW w:w="3631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年度目标(2018年)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582" w:type="dxa"/>
            <w:vMerge w:val="continue"/>
          </w:tcPr>
          <w:p/>
        </w:tc>
        <w:tc>
          <w:tcPr>
            <w:tcW w:w="4083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完成DXA骨龄骨密度仪购置，保障“儿童青少年心血管健康、骨健康及代谢异常监测及研发应用”项目顺利有序开展。</w:t>
            </w:r>
          </w:p>
        </w:tc>
        <w:tc>
          <w:tcPr>
            <w:tcW w:w="3631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购置DXA骨龄骨密度仪，保障“儿童青少年心血管健康、骨健康及代谢异常监测及研发应用”项目顺利有序开展。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82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绩 效 指 标</w:t>
            </w:r>
          </w:p>
        </w:tc>
        <w:tc>
          <w:tcPr>
            <w:tcW w:w="65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指标值</w:t>
            </w:r>
          </w:p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 出 指 标</w:t>
            </w:r>
          </w:p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新增“CVH、骨健康等指标评估检测”数量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20000人次</w:t>
            </w:r>
          </w:p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新增“CVH、骨健康等指标评估检测”数量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10000人次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验收合格率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验收合格率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设备质量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达到临床使用标准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设备质量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达到临床使用标准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进度指标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2017年3月前</w:t>
            </w:r>
          </w:p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进度指标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方案制定和前期准备时间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2018年3月前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招标采购时间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2017年6月前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招标采购时间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2018年6月前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采购物品到位时间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2017年8月前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采购物品到位时间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2018年8月前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验收时间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2017年12月前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验收时间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2018年12月前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794万</w:t>
            </w:r>
          </w:p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645万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单位购置成本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≤175万元∕台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单位购置成本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≤175万元∕台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政府采购节支率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≥0.1%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政府采购节支率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≥0.1%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 果 指 标</w:t>
            </w:r>
          </w:p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提供社会服务收益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得到提高</w:t>
            </w:r>
          </w:p>
        </w:tc>
        <w:tc>
          <w:tcPr>
            <w:tcW w:w="726" w:type="dxa"/>
            <w:vMerge w:val="restar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提供社会服务收益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节约维护成本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得到降低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节约维护成本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  <w:vMerge w:val="continue"/>
          </w:tcPr>
          <w:p/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726" w:type="dxa"/>
            <w:vMerge w:val="continue"/>
          </w:tcPr>
          <w:p/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履职基础、公共服务能力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得到提升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82" w:type="dxa"/>
            <w:vMerge w:val="continue"/>
          </w:tcPr>
          <w:p/>
        </w:tc>
        <w:tc>
          <w:tcPr>
            <w:tcW w:w="652" w:type="dxa"/>
            <w:vMerge w:val="continue"/>
          </w:tcPr>
          <w:p/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服务对象 满意度指标</w:t>
            </w:r>
          </w:p>
        </w:tc>
        <w:tc>
          <w:tcPr>
            <w:tcW w:w="15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使用人员满意度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72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服务对象 满意度指标</w:t>
            </w:r>
          </w:p>
        </w:tc>
        <w:tc>
          <w:tcPr>
            <w:tcW w:w="171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使用人员满意度</w:t>
            </w:r>
          </w:p>
        </w:tc>
        <w:tc>
          <w:tcPr>
            <w:tcW w:w="119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≥95%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47"/>
    <w:rsid w:val="005B7E31"/>
    <w:rsid w:val="00DE2A47"/>
    <w:rsid w:val="26DC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831</Characters>
  <Lines>6</Lines>
  <Paragraphs>1</Paragraphs>
  <TotalTime>0</TotalTime>
  <ScaleCrop>false</ScaleCrop>
  <LinksUpToDate>false</LinksUpToDate>
  <CharactersWithSpaces>975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2018-01-30T07:16:00Z</dcterms:created>
  <dc:creator>YC</dc:creator>
  <cp:lastModifiedBy>Administrator</cp:lastModifiedBy>
  <dcterms:modified xsi:type="dcterms:W3CDTF">2018-02-07T08:35:36Z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