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398" w:type="dxa"/>
        <w:tblInd w:w="0" w:type="dxa"/>
        <w:tblLayout w:type="fixed"/>
        <w:tblCellMar>
          <w:top w:w="0" w:type="dxa"/>
          <w:left w:w="108" w:type="dxa"/>
          <w:bottom w:w="0" w:type="dxa"/>
          <w:right w:w="108" w:type="dxa"/>
        </w:tblCellMar>
      </w:tblPr>
      <w:tblGrid>
        <w:gridCol w:w="632"/>
        <w:gridCol w:w="1519"/>
        <w:gridCol w:w="2386"/>
        <w:gridCol w:w="1288"/>
        <w:gridCol w:w="1187"/>
        <w:gridCol w:w="2579"/>
        <w:gridCol w:w="1598"/>
        <w:gridCol w:w="1288"/>
        <w:gridCol w:w="1187"/>
        <w:gridCol w:w="1734"/>
      </w:tblGrid>
      <w:tr>
        <w:tblPrEx>
          <w:tblLayout w:type="fixed"/>
          <w:tblCellMar>
            <w:top w:w="0" w:type="dxa"/>
            <w:left w:w="108" w:type="dxa"/>
            <w:bottom w:w="0" w:type="dxa"/>
            <w:right w:w="108" w:type="dxa"/>
          </w:tblCellMar>
        </w:tblPrEx>
        <w:trPr>
          <w:trHeight w:val="285" w:hRule="atLeast"/>
        </w:trPr>
        <w:tc>
          <w:tcPr>
            <w:tcW w:w="15398" w:type="dxa"/>
            <w:gridSpan w:val="10"/>
            <w:tcBorders>
              <w:top w:val="nil"/>
              <w:left w:val="nil"/>
              <w:bottom w:val="nil"/>
              <w:right w:val="nil"/>
            </w:tcBorders>
            <w:shd w:val="clear" w:color="auto" w:fill="auto"/>
            <w:vAlign w:val="center"/>
          </w:tcPr>
          <w:p>
            <w:pPr>
              <w:widowControl/>
              <w:jc w:val="center"/>
              <w:rPr>
                <w:rFonts w:ascii="Times New Roman" w:hAnsi="Times New Roman" w:eastAsia="宋体" w:cs="Times New Roman"/>
                <w:b/>
                <w:bCs/>
                <w:color w:val="000000"/>
                <w:kern w:val="0"/>
                <w:sz w:val="18"/>
                <w:szCs w:val="18"/>
              </w:rPr>
            </w:pPr>
            <w:r>
              <w:rPr>
                <w:rFonts w:ascii="Times New Roman" w:hAnsi="Times New Roman" w:eastAsia="宋体" w:cs="Times New Roman"/>
                <w:b/>
                <w:bCs/>
                <w:color w:val="000000"/>
                <w:kern w:val="0"/>
                <w:sz w:val="18"/>
                <w:szCs w:val="18"/>
              </w:rPr>
              <w:t>项目支出绩效目标申报表</w:t>
            </w:r>
          </w:p>
        </w:tc>
      </w:tr>
      <w:tr>
        <w:tblPrEx>
          <w:tblLayout w:type="fixed"/>
          <w:tblCellMar>
            <w:top w:w="0" w:type="dxa"/>
            <w:left w:w="108" w:type="dxa"/>
            <w:bottom w:w="0" w:type="dxa"/>
            <w:right w:w="108" w:type="dxa"/>
          </w:tblCellMar>
        </w:tblPrEx>
        <w:trPr>
          <w:trHeight w:val="285" w:hRule="atLeast"/>
        </w:trPr>
        <w:tc>
          <w:tcPr>
            <w:tcW w:w="15398" w:type="dxa"/>
            <w:gridSpan w:val="10"/>
            <w:tcBorders>
              <w:top w:val="nil"/>
              <w:left w:val="nil"/>
              <w:bottom w:val="single" w:color="000000" w:sz="4" w:space="0"/>
              <w:right w:val="nil"/>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（2018年度）</w:t>
            </w:r>
          </w:p>
        </w:tc>
      </w:tr>
      <w:tr>
        <w:tblPrEx>
          <w:tblLayout w:type="fixed"/>
          <w:tblCellMar>
            <w:top w:w="0" w:type="dxa"/>
            <w:left w:w="108" w:type="dxa"/>
            <w:bottom w:w="0" w:type="dxa"/>
            <w:right w:w="108" w:type="dxa"/>
          </w:tblCellMar>
        </w:tblPrEx>
        <w:trPr>
          <w:trHeight w:val="285" w:hRule="atLeast"/>
        </w:trPr>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项目名称</w:t>
            </w:r>
          </w:p>
        </w:tc>
        <w:tc>
          <w:tcPr>
            <w:tcW w:w="13247"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胃癌、食管癌预防及干预策略研究</w:t>
            </w:r>
          </w:p>
        </w:tc>
      </w:tr>
      <w:tr>
        <w:tblPrEx>
          <w:tblLayout w:type="fixed"/>
          <w:tblCellMar>
            <w:top w:w="0" w:type="dxa"/>
            <w:left w:w="108" w:type="dxa"/>
            <w:bottom w:w="0" w:type="dxa"/>
            <w:right w:w="108" w:type="dxa"/>
          </w:tblCellMar>
        </w:tblPrEx>
        <w:trPr>
          <w:trHeight w:val="285" w:hRule="atLeast"/>
        </w:trPr>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主管部门</w:t>
            </w:r>
            <w:bookmarkStart w:id="0" w:name="_GoBack"/>
            <w:bookmarkEnd w:id="0"/>
          </w:p>
        </w:tc>
        <w:tc>
          <w:tcPr>
            <w:tcW w:w="744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北京市卫生和计划生育委员会</w:t>
            </w:r>
          </w:p>
        </w:tc>
        <w:tc>
          <w:tcPr>
            <w:tcW w:w="28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实施单位</w:t>
            </w:r>
          </w:p>
        </w:tc>
        <w:tc>
          <w:tcPr>
            <w:tcW w:w="29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北京市肿瘤防治研究所</w:t>
            </w:r>
          </w:p>
        </w:tc>
      </w:tr>
      <w:tr>
        <w:tblPrEx>
          <w:tblLayout w:type="fixed"/>
          <w:tblCellMar>
            <w:top w:w="0" w:type="dxa"/>
            <w:left w:w="108" w:type="dxa"/>
            <w:bottom w:w="0" w:type="dxa"/>
            <w:right w:w="108" w:type="dxa"/>
          </w:tblCellMar>
        </w:tblPrEx>
        <w:trPr>
          <w:trHeight w:val="285" w:hRule="atLeast"/>
        </w:trPr>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项目属性</w:t>
            </w:r>
          </w:p>
        </w:tc>
        <w:tc>
          <w:tcPr>
            <w:tcW w:w="744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新增项目</w:t>
            </w:r>
          </w:p>
        </w:tc>
        <w:tc>
          <w:tcPr>
            <w:tcW w:w="28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项目期</w:t>
            </w:r>
          </w:p>
        </w:tc>
        <w:tc>
          <w:tcPr>
            <w:tcW w:w="29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2018年-2020年</w:t>
            </w:r>
          </w:p>
        </w:tc>
      </w:tr>
      <w:tr>
        <w:tblPrEx>
          <w:tblLayout w:type="fixed"/>
          <w:tblCellMar>
            <w:top w:w="0" w:type="dxa"/>
            <w:left w:w="108" w:type="dxa"/>
            <w:bottom w:w="0" w:type="dxa"/>
            <w:right w:w="108" w:type="dxa"/>
          </w:tblCellMar>
        </w:tblPrEx>
        <w:trPr>
          <w:trHeight w:val="285" w:hRule="atLeast"/>
        </w:trPr>
        <w:tc>
          <w:tcPr>
            <w:tcW w:w="21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项目资金 （万元）</w:t>
            </w:r>
          </w:p>
        </w:tc>
        <w:tc>
          <w:tcPr>
            <w:tcW w:w="367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中期资金总额：</w:t>
            </w:r>
          </w:p>
        </w:tc>
        <w:tc>
          <w:tcPr>
            <w:tcW w:w="376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548.1万元</w:t>
            </w:r>
          </w:p>
        </w:tc>
        <w:tc>
          <w:tcPr>
            <w:tcW w:w="28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年度资金总额：</w:t>
            </w:r>
          </w:p>
        </w:tc>
        <w:tc>
          <w:tcPr>
            <w:tcW w:w="29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148.1万元</w:t>
            </w:r>
          </w:p>
        </w:tc>
      </w:tr>
      <w:tr>
        <w:tblPrEx>
          <w:tblLayout w:type="fixed"/>
          <w:tblCellMar>
            <w:top w:w="0" w:type="dxa"/>
            <w:left w:w="108" w:type="dxa"/>
            <w:bottom w:w="0" w:type="dxa"/>
            <w:right w:w="108" w:type="dxa"/>
          </w:tblCellMar>
        </w:tblPrEx>
        <w:trPr>
          <w:trHeight w:val="285" w:hRule="atLeast"/>
        </w:trPr>
        <w:tc>
          <w:tcPr>
            <w:tcW w:w="215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367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其中：财政拨款</w:t>
            </w:r>
          </w:p>
        </w:tc>
        <w:tc>
          <w:tcPr>
            <w:tcW w:w="376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548.1万元</w:t>
            </w:r>
          </w:p>
        </w:tc>
        <w:tc>
          <w:tcPr>
            <w:tcW w:w="28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其中：财政拨款</w:t>
            </w:r>
          </w:p>
        </w:tc>
        <w:tc>
          <w:tcPr>
            <w:tcW w:w="29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148.1万元</w:t>
            </w:r>
          </w:p>
        </w:tc>
      </w:tr>
      <w:tr>
        <w:tblPrEx>
          <w:tblLayout w:type="fixed"/>
          <w:tblCellMar>
            <w:top w:w="0" w:type="dxa"/>
            <w:left w:w="108" w:type="dxa"/>
            <w:bottom w:w="0" w:type="dxa"/>
            <w:right w:w="108" w:type="dxa"/>
          </w:tblCellMar>
        </w:tblPrEx>
        <w:trPr>
          <w:trHeight w:val="285" w:hRule="atLeast"/>
        </w:trPr>
        <w:tc>
          <w:tcPr>
            <w:tcW w:w="215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367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其他资金</w:t>
            </w:r>
          </w:p>
        </w:tc>
        <w:tc>
          <w:tcPr>
            <w:tcW w:w="376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0万元</w:t>
            </w:r>
          </w:p>
        </w:tc>
        <w:tc>
          <w:tcPr>
            <w:tcW w:w="288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righ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其他资金</w:t>
            </w:r>
          </w:p>
        </w:tc>
        <w:tc>
          <w:tcPr>
            <w:tcW w:w="292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0万元</w:t>
            </w:r>
          </w:p>
        </w:tc>
      </w:tr>
      <w:tr>
        <w:tblPrEx>
          <w:tblLayout w:type="fixed"/>
          <w:tblCellMar>
            <w:top w:w="0" w:type="dxa"/>
            <w:left w:w="108" w:type="dxa"/>
            <w:bottom w:w="0" w:type="dxa"/>
            <w:right w:w="108" w:type="dxa"/>
          </w:tblCellMar>
        </w:tblPrEx>
        <w:trPr>
          <w:trHeight w:val="285" w:hRule="atLeast"/>
        </w:trPr>
        <w:tc>
          <w:tcPr>
            <w:tcW w:w="6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总 体 目 标</w:t>
            </w:r>
          </w:p>
        </w:tc>
        <w:tc>
          <w:tcPr>
            <w:tcW w:w="8959"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中期目标（2018年—2020年）</w:t>
            </w:r>
          </w:p>
        </w:tc>
        <w:tc>
          <w:tcPr>
            <w:tcW w:w="5807"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年度目标（2018年）</w:t>
            </w:r>
          </w:p>
        </w:tc>
      </w:tr>
      <w:tr>
        <w:tblPrEx>
          <w:tblLayout w:type="fixed"/>
          <w:tblCellMar>
            <w:top w:w="0" w:type="dxa"/>
            <w:left w:w="108" w:type="dxa"/>
            <w:bottom w:w="0" w:type="dxa"/>
            <w:right w:w="108" w:type="dxa"/>
          </w:tblCellMar>
        </w:tblPrEx>
        <w:trPr>
          <w:trHeight w:val="3450" w:hRule="atLeast"/>
        </w:trPr>
        <w:tc>
          <w:tcPr>
            <w:tcW w:w="632"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8959"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目标1：</w:t>
            </w:r>
            <w:r>
              <w:rPr>
                <w:rFonts w:ascii="Times New Roman" w:hAnsi="Times New Roman" w:eastAsia="宋体" w:cs="Times New Roman"/>
                <w:color w:val="000000"/>
                <w:kern w:val="0"/>
                <w:sz w:val="18"/>
                <w:szCs w:val="18"/>
              </w:rPr>
              <w:t xml:space="preserve">进一步完善胃癌、食管癌高发区自然人群专病队列，样本量分别达到4万人，合计8万人以上。  </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目标2：</w:t>
            </w:r>
            <w:r>
              <w:rPr>
                <w:rFonts w:ascii="Times New Roman" w:hAnsi="Times New Roman" w:eastAsia="宋体" w:cs="Times New Roman"/>
                <w:color w:val="000000"/>
                <w:kern w:val="0"/>
                <w:sz w:val="18"/>
                <w:szCs w:val="18"/>
              </w:rPr>
              <w:t xml:space="preserve">对人群队列进行系统随访，年失访率小于10%。  </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目标3：</w:t>
            </w:r>
            <w:r>
              <w:rPr>
                <w:rFonts w:ascii="Times New Roman" w:hAnsi="Times New Roman" w:eastAsia="宋体" w:cs="Times New Roman"/>
                <w:color w:val="000000"/>
                <w:kern w:val="0"/>
                <w:sz w:val="18"/>
                <w:szCs w:val="18"/>
              </w:rPr>
              <w:t>构建2个实用、可靠的胃癌、食管癌发病风险预测模型。</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目标4：</w:t>
            </w:r>
            <w:r>
              <w:rPr>
                <w:rFonts w:ascii="Times New Roman" w:hAnsi="Times New Roman" w:eastAsia="宋体" w:cs="Times New Roman"/>
                <w:color w:val="000000"/>
                <w:kern w:val="0"/>
                <w:sz w:val="18"/>
                <w:szCs w:val="18"/>
              </w:rPr>
              <w:t>构建一套“消化道肿瘤队列多中心管理平台及风险评估系统”。</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目标5：</w:t>
            </w:r>
            <w:r>
              <w:rPr>
                <w:rFonts w:ascii="Times New Roman" w:hAnsi="Times New Roman" w:eastAsia="宋体" w:cs="Times New Roman"/>
                <w:color w:val="000000"/>
                <w:kern w:val="0"/>
                <w:sz w:val="18"/>
                <w:szCs w:val="18"/>
              </w:rPr>
              <w:t>筛选 30 个左右胃癌、食管癌发病相关单核苷酸多态性（SNP）位点，采用 1:2 匹配的病例-对照研究设计（500对 1000），在山东临朐胃癌高发区及安阳食管癌高发区采用Sequenom 质谱法对上述位点进行检测及验证。</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目标6：</w:t>
            </w:r>
            <w:r>
              <w:rPr>
                <w:rFonts w:ascii="Times New Roman" w:hAnsi="Times New Roman" w:eastAsia="宋体" w:cs="Times New Roman"/>
                <w:color w:val="000000"/>
                <w:kern w:val="0"/>
                <w:sz w:val="18"/>
                <w:szCs w:val="18"/>
              </w:rPr>
              <w:t>往返山东临朐胃癌高发区及安阳食管癌高发区进行高质量流行病学调研工作，200天/年。</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目标7：</w:t>
            </w:r>
            <w:r>
              <w:rPr>
                <w:rFonts w:ascii="Times New Roman" w:hAnsi="Times New Roman" w:eastAsia="宋体" w:cs="Times New Roman"/>
                <w:color w:val="000000"/>
                <w:kern w:val="0"/>
                <w:sz w:val="18"/>
                <w:szCs w:val="18"/>
              </w:rPr>
              <w:t>参加国际国内学术交流会议与研讨，15人次。</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目标8：</w:t>
            </w:r>
            <w:r>
              <w:rPr>
                <w:rFonts w:ascii="Times New Roman" w:hAnsi="Times New Roman" w:eastAsia="宋体" w:cs="Times New Roman"/>
                <w:color w:val="000000"/>
                <w:kern w:val="0"/>
                <w:sz w:val="18"/>
                <w:szCs w:val="18"/>
              </w:rPr>
              <w:t>发表SCI论文5篇，争取在高水平杂志上发表研究成果。培养硕、博士研究生及青年科研骨干6名。</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目标9：</w:t>
            </w:r>
            <w:r>
              <w:rPr>
                <w:rFonts w:ascii="Times New Roman" w:hAnsi="Times New Roman" w:eastAsia="宋体" w:cs="Times New Roman"/>
                <w:color w:val="000000"/>
                <w:kern w:val="0"/>
                <w:sz w:val="18"/>
                <w:szCs w:val="18"/>
              </w:rPr>
              <w:t>邀请本专业国内外专家学者进行咨询研讨，12人次/年。</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目标10：</w:t>
            </w:r>
            <w:r>
              <w:rPr>
                <w:rFonts w:ascii="Times New Roman" w:hAnsi="Times New Roman" w:eastAsia="宋体" w:cs="Times New Roman"/>
                <w:color w:val="000000"/>
                <w:kern w:val="0"/>
                <w:sz w:val="18"/>
                <w:szCs w:val="18"/>
              </w:rPr>
              <w:t>本项目最终所构建队列覆盖高发区500个以上行政村，形成涵盖县-乡镇-村三级的稳定基层工作网络，参与成员达到600人以上。</w:t>
            </w:r>
          </w:p>
        </w:tc>
        <w:tc>
          <w:tcPr>
            <w:tcW w:w="5807" w:type="dxa"/>
            <w:gridSpan w:val="4"/>
            <w:tcBorders>
              <w:top w:val="single" w:color="000000" w:sz="4" w:space="0"/>
              <w:left w:val="nil"/>
              <w:bottom w:val="single" w:color="000000" w:sz="4" w:space="0"/>
              <w:right w:val="single" w:color="000000" w:sz="4" w:space="0"/>
            </w:tcBorders>
            <w:shd w:val="clear" w:color="auto" w:fill="auto"/>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目标1：</w:t>
            </w:r>
            <w:r>
              <w:rPr>
                <w:rFonts w:ascii="Times New Roman" w:hAnsi="Times New Roman" w:eastAsia="宋体" w:cs="Times New Roman"/>
                <w:color w:val="000000"/>
                <w:kern w:val="0"/>
                <w:sz w:val="18"/>
                <w:szCs w:val="18"/>
              </w:rPr>
              <w:t>进一步完善胃癌、食管癌高发区自然人群专病队列，样本量分别达到4万人，合计8万人以上。</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目标2：</w:t>
            </w:r>
            <w:r>
              <w:rPr>
                <w:rFonts w:ascii="Times New Roman" w:hAnsi="Times New Roman" w:eastAsia="宋体" w:cs="Times New Roman"/>
                <w:color w:val="000000"/>
                <w:kern w:val="0"/>
                <w:sz w:val="18"/>
                <w:szCs w:val="18"/>
              </w:rPr>
              <w:t xml:space="preserve">发表SCI论文2篇，争取在高水平杂志上发表研究成果。  </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目标3：</w:t>
            </w:r>
            <w:r>
              <w:rPr>
                <w:rFonts w:ascii="Times New Roman" w:hAnsi="Times New Roman" w:eastAsia="宋体" w:cs="Times New Roman"/>
                <w:color w:val="000000"/>
                <w:kern w:val="0"/>
                <w:sz w:val="18"/>
                <w:szCs w:val="18"/>
              </w:rPr>
              <w:t>构建一套“消化道肿瘤队列多中心管理平台及风险评估系统”。</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目标4：</w:t>
            </w:r>
            <w:r>
              <w:rPr>
                <w:rFonts w:ascii="Times New Roman" w:hAnsi="Times New Roman" w:eastAsia="宋体" w:cs="Times New Roman"/>
                <w:color w:val="000000"/>
                <w:kern w:val="0"/>
                <w:sz w:val="18"/>
                <w:szCs w:val="18"/>
              </w:rPr>
              <w:t>参加国际国内学术交流会议与研讨，3人次。</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目标5：</w:t>
            </w:r>
            <w:r>
              <w:rPr>
                <w:rFonts w:ascii="Times New Roman" w:hAnsi="Times New Roman" w:eastAsia="宋体" w:cs="Times New Roman"/>
                <w:color w:val="000000"/>
                <w:kern w:val="0"/>
                <w:sz w:val="18"/>
                <w:szCs w:val="18"/>
              </w:rPr>
              <w:t>培养博士研究生2名。</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目标6：</w:t>
            </w:r>
            <w:r>
              <w:rPr>
                <w:rFonts w:ascii="Times New Roman" w:hAnsi="Times New Roman" w:eastAsia="宋体" w:cs="Times New Roman"/>
                <w:color w:val="000000"/>
                <w:kern w:val="0"/>
                <w:sz w:val="18"/>
                <w:szCs w:val="18"/>
              </w:rPr>
              <w:t>往返山东临朐胃癌高发区及安阳食管癌高发区进行高质量流行病学调研工作，200天。</w:t>
            </w:r>
          </w:p>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b/>
                <w:bCs/>
                <w:color w:val="000000"/>
                <w:kern w:val="0"/>
                <w:sz w:val="18"/>
                <w:szCs w:val="18"/>
              </w:rPr>
              <w:t>目标7：</w:t>
            </w:r>
            <w:r>
              <w:rPr>
                <w:rFonts w:ascii="Times New Roman" w:hAnsi="Times New Roman" w:eastAsia="宋体" w:cs="Times New Roman"/>
                <w:color w:val="000000"/>
                <w:kern w:val="0"/>
                <w:sz w:val="18"/>
                <w:szCs w:val="18"/>
              </w:rPr>
              <w:t>邀请本专业国内外专家学者进行咨询研讨，12人次。</w:t>
            </w:r>
          </w:p>
        </w:tc>
      </w:tr>
      <w:tr>
        <w:tblPrEx>
          <w:tblLayout w:type="fixed"/>
          <w:tblCellMar>
            <w:top w:w="0" w:type="dxa"/>
            <w:left w:w="108" w:type="dxa"/>
            <w:bottom w:w="0" w:type="dxa"/>
            <w:right w:w="108" w:type="dxa"/>
          </w:tblCellMar>
        </w:tblPrEx>
        <w:trPr>
          <w:trHeight w:val="285" w:hRule="atLeast"/>
        </w:trPr>
        <w:tc>
          <w:tcPr>
            <w:tcW w:w="6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绩 效 指 标</w:t>
            </w:r>
          </w:p>
        </w:tc>
        <w:tc>
          <w:tcPr>
            <w:tcW w:w="151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一级指标</w:t>
            </w:r>
          </w:p>
        </w:tc>
        <w:tc>
          <w:tcPr>
            <w:tcW w:w="2386"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二级指标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三级指标</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指标值</w:t>
            </w:r>
          </w:p>
        </w:tc>
        <w:tc>
          <w:tcPr>
            <w:tcW w:w="1598"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二级指标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三级指标</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指标值</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restart"/>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产 出 指 标</w:t>
            </w:r>
          </w:p>
        </w:tc>
        <w:tc>
          <w:tcPr>
            <w:tcW w:w="2386" w:type="dxa"/>
            <w:vMerge w:val="restart"/>
            <w:tcBorders>
              <w:top w:val="nil"/>
              <w:left w:val="single" w:color="000000" w:sz="4" w:space="0"/>
              <w:bottom w:val="nil"/>
              <w:right w:val="nil"/>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数量指标</w:t>
            </w: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新增负80℃超低温冰箱</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1台</w:t>
            </w:r>
          </w:p>
        </w:tc>
        <w:tc>
          <w:tcPr>
            <w:tcW w:w="1598" w:type="dxa"/>
            <w:vMerge w:val="restart"/>
            <w:tcBorders>
              <w:top w:val="nil"/>
              <w:left w:val="nil"/>
              <w:bottom w:val="nil"/>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数量指标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新增负80℃超低温冰箱</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1台</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新增荧光显微镜</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1台</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新增内镜筛查图文报告系统</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2个工作站点</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新增专用机架式计算服务器</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1台</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胃癌、食管癌高发区自然人群专病队列</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合计8万人以上</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新增内镜筛查图文报告系统</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4个工作站点</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两个肿瘤队列年失访率</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胃癌、食管癌高发区自然人群专病队列</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合计8万人以上</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构建“消化道肿瘤队列多中心管理平台及风险评估系统”（软件及硬件平台）</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1套</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两个肿瘤队列年失访率</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构建实用、可靠的胃癌、食管癌发病风险预测模型</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2套</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构建实用、可靠的胃癌、食管癌发病风险预测模型</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2套</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筛选胃癌、食管癌发病相关单核苷酸多态性（SNP）位点</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30个</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构建实用、可靠的胃癌、食管癌进展风险预测模型</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2套</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往返山东临朐胃癌高发区及安阳食管癌高发区进行高质量流行病学调研工作</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200天</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构建“消化道肿瘤队列多中心管理平台及风险评估系统”（软件及硬件平台）</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1套</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本项目所构建队列覆盖高发区行政村数量</w:t>
            </w:r>
          </w:p>
        </w:tc>
        <w:tc>
          <w:tcPr>
            <w:tcW w:w="173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150个</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筛选胃癌、食管癌发病相关单核苷酸多态性（SNP）位点</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30个</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本项目形成涵盖县-乡镇-村三级的稳定基层工作网络，其参与成员数量</w:t>
            </w:r>
          </w:p>
        </w:tc>
        <w:tc>
          <w:tcPr>
            <w:tcW w:w="173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200人</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对山东临朐胃癌高发区及安阳食管癌高发区人群样本进行基因检测及验证。</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1500例</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参加国际国内学术交流会议与研讨</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3人次</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往返山东临朐胃癌高发区及安阳食管癌高发区进行高质量流行病学调研工作</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200天/年</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邀请本专业国内外专家学者进行咨询研讨</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12人次</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本项目所构建队列覆盖高发区行政村数量</w:t>
            </w:r>
          </w:p>
        </w:tc>
        <w:tc>
          <w:tcPr>
            <w:tcW w:w="257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500个</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发表SCI论文</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2篇</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本项目形成涵盖县-乡镇-村三级的稳定基层工作网络，其参与成员数量</w:t>
            </w:r>
          </w:p>
        </w:tc>
        <w:tc>
          <w:tcPr>
            <w:tcW w:w="257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600人</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培养硕、博士研究生</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2名</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参加国际国内学术交流会议与研讨</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15人次</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以此为平台申请申请省部级科研立项</w:t>
            </w:r>
          </w:p>
        </w:tc>
        <w:tc>
          <w:tcPr>
            <w:tcW w:w="173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1项</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发表SCI论文</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5篇</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　</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　</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培养硕博士研究生及青年科研骨干</w:t>
            </w:r>
          </w:p>
        </w:tc>
        <w:tc>
          <w:tcPr>
            <w:tcW w:w="2579" w:type="dxa"/>
            <w:tcBorders>
              <w:top w:val="single" w:color="000000" w:sz="4" w:space="0"/>
              <w:left w:val="nil"/>
              <w:bottom w:val="nil"/>
              <w:right w:val="single" w:color="000000"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6名</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173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　</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邀请本专业国内外专家学者进行咨询研讨</w:t>
            </w:r>
          </w:p>
        </w:tc>
        <w:tc>
          <w:tcPr>
            <w:tcW w:w="257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12人次/年</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173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　</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nil"/>
              <w:right w:val="nil"/>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以此为平台申请申请省部级科研立项</w:t>
            </w:r>
          </w:p>
        </w:tc>
        <w:tc>
          <w:tcPr>
            <w:tcW w:w="257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3项</w:t>
            </w:r>
          </w:p>
        </w:tc>
        <w:tc>
          <w:tcPr>
            <w:tcW w:w="1598" w:type="dxa"/>
            <w:vMerge w:val="continue"/>
            <w:tcBorders>
              <w:top w:val="nil"/>
              <w:left w:val="nil"/>
              <w:bottom w:val="nil"/>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173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　</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质量指标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新增实验室仪器设备与系统验收合格率</w:t>
            </w: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c>
          <w:tcPr>
            <w:tcW w:w="15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质量指标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新增实验室仪器设备与系统验收合格率</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设备质量</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达到国际标准/技术参数</w:t>
            </w:r>
          </w:p>
        </w:tc>
        <w:tc>
          <w:tcPr>
            <w:tcW w:w="1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设备质量</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达到国际标准/技术参数</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构建实用、可靠的胃癌、食管癌发病风险预测模型预测能力（AUC）</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≥0.75</w:t>
            </w:r>
          </w:p>
        </w:tc>
        <w:tc>
          <w:tcPr>
            <w:tcW w:w="1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构建实用、可靠的胃癌、食管癌发病风险预测模型预测能力（AUC）</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≥0.75</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构建实用、可靠的胃癌、食管癌进展风险预测模型预测能力（AUC）</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≥0.75</w:t>
            </w:r>
          </w:p>
        </w:tc>
        <w:tc>
          <w:tcPr>
            <w:tcW w:w="1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构建实用、可靠的胃癌、食管癌进展风险预测模型预测能力（AUC）</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≥0.75</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学术会议、专家讲座的参与程度</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≥80%</w:t>
            </w:r>
          </w:p>
        </w:tc>
        <w:tc>
          <w:tcPr>
            <w:tcW w:w="1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学术会议、专家讲座的参与程度</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≥80%</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论文发表在SCI期刊的比例</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≥70%</w:t>
            </w:r>
          </w:p>
        </w:tc>
        <w:tc>
          <w:tcPr>
            <w:tcW w:w="1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论文发表在SCI期刊的比例</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≥70%</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论文发表在核心期刊发表比例</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c>
          <w:tcPr>
            <w:tcW w:w="1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论文发表在核心期刊发表比例</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数据库的验收通过率</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c>
          <w:tcPr>
            <w:tcW w:w="1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数据库的验收通过率</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研究生毕业及获得学位率</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c>
          <w:tcPr>
            <w:tcW w:w="1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研究生毕业及获得学位率</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研究生就业率</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c>
          <w:tcPr>
            <w:tcW w:w="1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研究生就业率</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进度指标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各阶段完成进度</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严格按照计划执行</w:t>
            </w:r>
          </w:p>
        </w:tc>
        <w:tc>
          <w:tcPr>
            <w:tcW w:w="159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进度指标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招标采购时间</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2018年9月</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方案制定和前期准备时间</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2017年9月</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采购物品到位时间</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2018年12月</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招标采购时间</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2018年9月</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采购物品到位时间</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2018年12月</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新增仪器设备验收时间</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2019年6月</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完成食管癌、胃癌两大瘤种发病及进展风险预测模型构建与验证</w:t>
            </w: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2019年12月</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　</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成本指标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项目预算控制数</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550万元</w:t>
            </w:r>
          </w:p>
        </w:tc>
        <w:tc>
          <w:tcPr>
            <w:tcW w:w="159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成本指标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项目预算控制数</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150万元</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购置设备的平均价格</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≤100万元</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购置设备的平均价格</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≤100万元</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国际/国内专家会议/讲座成本费</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≤3万元/人次</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国际/国内专家会议/讲座成本费</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≤3万元/人次</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政府采购节支率</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政府采购节支率</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2%</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效果指标</w:t>
            </w:r>
          </w:p>
        </w:tc>
        <w:tc>
          <w:tcPr>
            <w:tcW w:w="2386" w:type="dxa"/>
            <w:vMerge w:val="restart"/>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效益指标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食管癌、胃癌发病风险预测能力</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显著提高</w:t>
            </w:r>
          </w:p>
        </w:tc>
        <w:tc>
          <w:tcPr>
            <w:tcW w:w="159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效益指标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食管癌、胃癌发病风险预测能力</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显著提高</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食管癌、胃癌进展风险预测能力</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显著提高</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食管癌、胃癌进展风险预测能力</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显著提高</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上消化道肿瘤人群筛检成本</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显著降低</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上消化道肿瘤人群筛检成本</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显著降低</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上消化道肿瘤人群筛检检出率</w:t>
            </w:r>
          </w:p>
        </w:tc>
        <w:tc>
          <w:tcPr>
            <w:tcW w:w="2579"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显著提高</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上消化道肿瘤人群筛检检出率</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显著提高</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学科在全国及世界的影响力</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增强</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学科在全国及世界的影响力</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增强</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培养学生的专业水平综合素质</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有所提高</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培养学生的专业水平综合素质</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有所提高</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restart"/>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服务对象 满意度指标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受益上消化道肿瘤患者及其家属满意度</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90%以上</w:t>
            </w:r>
          </w:p>
        </w:tc>
        <w:tc>
          <w:tcPr>
            <w:tcW w:w="159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服务对象 满意度指标</w:t>
            </w: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受益上消化道肿瘤患者及其家属满意度</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90%以上</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基层协作单位及卫生主管部门满意度</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95%以上</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基层协作单位及卫生主管部门满意度</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95%以上</w:t>
            </w:r>
          </w:p>
        </w:tc>
      </w:tr>
      <w:tr>
        <w:tblPrEx>
          <w:tblLayout w:type="fixed"/>
          <w:tblCellMar>
            <w:top w:w="0" w:type="dxa"/>
            <w:left w:w="108" w:type="dxa"/>
            <w:bottom w:w="0" w:type="dxa"/>
            <w:right w:w="108" w:type="dxa"/>
          </w:tblCellMar>
        </w:tblPrEx>
        <w:trPr>
          <w:trHeight w:val="285" w:hRule="atLeast"/>
        </w:trPr>
        <w:tc>
          <w:tcPr>
            <w:tcW w:w="6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 w:val="18"/>
                <w:szCs w:val="18"/>
              </w:rPr>
            </w:pPr>
          </w:p>
        </w:tc>
        <w:tc>
          <w:tcPr>
            <w:tcW w:w="2386" w:type="dxa"/>
            <w:vMerge w:val="continue"/>
            <w:tcBorders>
              <w:top w:val="nil"/>
              <w:left w:val="nil"/>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项目主管单位满意度</w:t>
            </w:r>
          </w:p>
        </w:tc>
        <w:tc>
          <w:tcPr>
            <w:tcW w:w="2579" w:type="dxa"/>
            <w:tcBorders>
              <w:top w:val="nil"/>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95%以上</w:t>
            </w:r>
          </w:p>
        </w:tc>
        <w:tc>
          <w:tcPr>
            <w:tcW w:w="1598" w:type="dxa"/>
            <w:vMerge w:val="continue"/>
            <w:tcBorders>
              <w:top w:val="nil"/>
              <w:left w:val="single" w:color="000000" w:sz="4" w:space="0"/>
              <w:bottom w:val="single" w:color="000000" w:sz="4" w:space="0"/>
              <w:right w:val="single" w:color="000000" w:sz="4" w:space="0"/>
            </w:tcBorders>
            <w:vAlign w:val="center"/>
          </w:tcPr>
          <w:p>
            <w:pPr>
              <w:widowControl/>
              <w:jc w:val="left"/>
              <w:rPr>
                <w:rFonts w:ascii="Times New Roman" w:hAnsi="Times New Roman" w:eastAsia="宋体" w:cs="Times New Roman"/>
                <w:color w:val="000000"/>
                <w:kern w:val="0"/>
                <w:sz w:val="18"/>
                <w:szCs w:val="18"/>
              </w:rPr>
            </w:pPr>
          </w:p>
        </w:tc>
        <w:tc>
          <w:tcPr>
            <w:tcW w:w="24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项目主管单位满意度</w:t>
            </w:r>
          </w:p>
        </w:tc>
        <w:tc>
          <w:tcPr>
            <w:tcW w:w="1734"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95%以上</w:t>
            </w: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E97"/>
    <w:rsid w:val="00394F31"/>
    <w:rsid w:val="0041241B"/>
    <w:rsid w:val="0072138D"/>
    <w:rsid w:val="00AF295A"/>
    <w:rsid w:val="00E81E97"/>
    <w:rsid w:val="35B971E0"/>
    <w:rsid w:val="7FCD4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字符"/>
    <w:basedOn w:val="3"/>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484</Words>
  <Characters>2760</Characters>
  <Lines>23</Lines>
  <Paragraphs>6</Paragraphs>
  <TotalTime>0</TotalTime>
  <ScaleCrop>false</ScaleCrop>
  <LinksUpToDate>false</LinksUpToDate>
  <CharactersWithSpaces>3238</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2017-10-13T06:59:00Z</dcterms:created>
  <dc:creator>Zhonghu He</dc:creator>
  <cp:lastModifiedBy>Administrator</cp:lastModifiedBy>
  <cp:lastPrinted>2017-10-13T07:02:00Z</cp:lastPrinted>
  <dcterms:modified xsi:type="dcterms:W3CDTF">2018-02-08T09:44:19Z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