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1169" w:type="dxa"/>
        <w:tblInd w:w="-142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834"/>
        <w:gridCol w:w="224"/>
        <w:gridCol w:w="770"/>
        <w:gridCol w:w="1357"/>
        <w:gridCol w:w="141"/>
        <w:gridCol w:w="1560"/>
        <w:gridCol w:w="693"/>
        <w:gridCol w:w="866"/>
        <w:gridCol w:w="425"/>
        <w:gridCol w:w="1418"/>
        <w:gridCol w:w="2404"/>
      </w:tblGrid>
      <w:tr w14:paraId="4EA5F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11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6E8CD">
            <w:pPr>
              <w:widowControl/>
              <w:jc w:val="center"/>
              <w:rPr>
                <w:rFonts w:ascii="宋体" w:hAnsi="宋体" w:eastAsia="宋体" w:cs="Arial"/>
                <w:b/>
                <w:bCs/>
                <w:color w:val="000000"/>
                <w:kern w:val="0"/>
                <w:sz w:val="38"/>
                <w:szCs w:val="38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/>
                <w:kern w:val="0"/>
                <w:sz w:val="38"/>
                <w:szCs w:val="38"/>
              </w:rPr>
              <w:t>项目支出绩效目标申报表</w:t>
            </w:r>
          </w:p>
        </w:tc>
      </w:tr>
      <w:tr w14:paraId="308C6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11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4C054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（    2018 年度）</w:t>
            </w:r>
          </w:p>
        </w:tc>
      </w:tr>
      <w:tr w14:paraId="499FF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79CB7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项目名称</w:t>
            </w:r>
          </w:p>
        </w:tc>
        <w:tc>
          <w:tcPr>
            <w:tcW w:w="963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A94E0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b/>
                <w:color w:val="000000"/>
                <w:kern w:val="0"/>
                <w:sz w:val="26"/>
                <w:szCs w:val="26"/>
              </w:rPr>
              <w:t>骨科机器人的基础与临床研究</w:t>
            </w:r>
          </w:p>
        </w:tc>
      </w:tr>
      <w:tr w14:paraId="3A778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26793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主管部门及代码</w:t>
            </w:r>
            <w:bookmarkStart w:id="0" w:name="_GoBack"/>
            <w:bookmarkEnd w:id="0"/>
          </w:p>
        </w:tc>
        <w:tc>
          <w:tcPr>
            <w:tcW w:w="382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370EC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北京市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  <w:lang w:eastAsia="zh-CN"/>
              </w:rPr>
              <w:t>卫生和计划生育委员会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026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75174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实施单位</w:t>
            </w:r>
          </w:p>
        </w:tc>
        <w:tc>
          <w:tcPr>
            <w:tcW w:w="38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D2F27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北京市创伤骨科研究所</w:t>
            </w:r>
          </w:p>
        </w:tc>
      </w:tr>
      <w:tr w14:paraId="43776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72DDB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项目属性</w:t>
            </w:r>
          </w:p>
        </w:tc>
        <w:tc>
          <w:tcPr>
            <w:tcW w:w="382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D1840">
            <w:pPr>
              <w:widowControl/>
              <w:jc w:val="left"/>
              <w:rPr>
                <w:rFonts w:ascii="宋体" w:hAnsi="宋体" w:eastAsia="宋体" w:cs="Arial"/>
                <w:color w:val="000000" w:themeColor="text1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 w:themeColor="text1"/>
                <w:kern w:val="0"/>
                <w:sz w:val="26"/>
                <w:szCs w:val="26"/>
              </w:rPr>
              <w:t>延续项目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82B7E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项目期</w:t>
            </w:r>
          </w:p>
        </w:tc>
        <w:tc>
          <w:tcPr>
            <w:tcW w:w="38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1DC87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2017年1月1日-2017年12月31日</w:t>
            </w:r>
          </w:p>
        </w:tc>
      </w:tr>
      <w:tr w14:paraId="0DACC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4825D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项目资金 （万元）</w:t>
            </w: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56DE4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中期资金总额：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29739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/>
                <w:sz w:val="28"/>
                <w:szCs w:val="28"/>
              </w:rPr>
              <w:t>125.45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万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A2D9E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年度资金总额：</w:t>
            </w:r>
          </w:p>
        </w:tc>
        <w:tc>
          <w:tcPr>
            <w:tcW w:w="38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35DAF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/>
                <w:sz w:val="28"/>
                <w:szCs w:val="28"/>
              </w:rPr>
              <w:t>125.45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万</w:t>
            </w:r>
          </w:p>
        </w:tc>
      </w:tr>
      <w:tr w14:paraId="034BAF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842A9E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9BF7B"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其中：财政拨款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E7B0C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/>
                <w:sz w:val="28"/>
                <w:szCs w:val="28"/>
              </w:rPr>
              <w:t>125.45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万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907B1"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其中：财政拨款</w:t>
            </w:r>
          </w:p>
        </w:tc>
        <w:tc>
          <w:tcPr>
            <w:tcW w:w="38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034AD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cs="宋体"/>
                <w:sz w:val="28"/>
                <w:szCs w:val="28"/>
              </w:rPr>
              <w:t>125.45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万</w:t>
            </w:r>
          </w:p>
        </w:tc>
      </w:tr>
      <w:tr w14:paraId="5611A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CF665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B1D2A"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其他资金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FC93E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0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D9093"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其他资金</w:t>
            </w:r>
          </w:p>
        </w:tc>
        <w:tc>
          <w:tcPr>
            <w:tcW w:w="38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6BF2E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0</w:t>
            </w:r>
          </w:p>
        </w:tc>
      </w:tr>
      <w:tr w14:paraId="1BF9C0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4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04161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总 体 目 标</w:t>
            </w:r>
          </w:p>
        </w:tc>
        <w:tc>
          <w:tcPr>
            <w:tcW w:w="557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16080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中期目标（2017年—2017年）</w:t>
            </w:r>
          </w:p>
        </w:tc>
        <w:tc>
          <w:tcPr>
            <w:tcW w:w="511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5CBA0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年度目标</w:t>
            </w:r>
          </w:p>
        </w:tc>
      </w:tr>
      <w:tr w14:paraId="0F1B94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07BFA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57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35852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 1. 明确骨科手术适应证；2. 明确骨科机器人手术操作流程及安全控制策略。3制定骨科机器人手术治疗路径</w:t>
            </w:r>
          </w:p>
        </w:tc>
        <w:tc>
          <w:tcPr>
            <w:tcW w:w="511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0B594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1. 明确骨科手术适应证；2. 明确骨科机器人手术操作流程及安全控制策略。3制定骨科机器人手术治疗路径</w:t>
            </w:r>
          </w:p>
        </w:tc>
      </w:tr>
      <w:tr w14:paraId="18AF1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4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6F3B6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绩 效 指 标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BF4B9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一级指标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E253A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A2E9C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三级指标</w:t>
            </w:r>
          </w:p>
        </w:tc>
        <w:tc>
          <w:tcPr>
            <w:tcW w:w="22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CED36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指标值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05F3B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3A842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三级指标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60C5B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指标值</w:t>
            </w:r>
          </w:p>
        </w:tc>
      </w:tr>
      <w:tr w14:paraId="3004C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80F5C9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C2D0B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产 出 指 标</w:t>
            </w:r>
          </w:p>
        </w:tc>
        <w:tc>
          <w:tcPr>
            <w:tcW w:w="994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1E547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数量指标</w:t>
            </w:r>
          </w:p>
        </w:tc>
        <w:tc>
          <w:tcPr>
            <w:tcW w:w="14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E7AF5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课题科研成果</w:t>
            </w:r>
          </w:p>
        </w:tc>
        <w:tc>
          <w:tcPr>
            <w:tcW w:w="22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FA116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发表文章2-4篇，申请专利1-2项</w:t>
            </w:r>
          </w:p>
        </w:tc>
        <w:tc>
          <w:tcPr>
            <w:tcW w:w="86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7A6C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1CB9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课题实验完成情况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69AD4">
            <w:pPr>
              <w:widowControl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完成骨科机器人动物实验及前期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eastAsia="zh-CN"/>
              </w:rPr>
              <w:t>临床试验</w:t>
            </w:r>
          </w:p>
        </w:tc>
      </w:tr>
      <w:tr w14:paraId="381E3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B7CDAC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026DCD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7610C9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65CC6F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D29E69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106C9F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A4C3B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课题调研完成情况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AEDDF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完成国内外研究现状及立项依据及最新研究进展</w:t>
            </w:r>
          </w:p>
        </w:tc>
      </w:tr>
      <w:tr w14:paraId="40D34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199496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A26117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257AA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0E7E76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C7AC6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5DF334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FF8A0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课题调研完成情况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5E2FA">
            <w:pPr>
              <w:widowControl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完成阶段性进展完成情况报告</w:t>
            </w:r>
          </w:p>
        </w:tc>
      </w:tr>
      <w:tr w14:paraId="7C211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D148D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02BEB5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FB5F6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2AD4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EA88AF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4E7B70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8B602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课题验收完成情况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29E17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1.明确骨科机器人适应证；2.制定骨科机器人操作流程及安全控制策略</w:t>
            </w:r>
          </w:p>
        </w:tc>
      </w:tr>
      <w:tr w14:paraId="5D660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0B64CA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CD2466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20311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4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B7B2A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骨科手术机器人的临床精度及安全性验证</w:t>
            </w:r>
          </w:p>
        </w:tc>
        <w:tc>
          <w:tcPr>
            <w:tcW w:w="22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5BE0E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骨科机器人误差应不大于2-3mm,满足临床高精度需求</w:t>
            </w:r>
          </w:p>
        </w:tc>
        <w:tc>
          <w:tcPr>
            <w:tcW w:w="86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2D4C1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 w14:paraId="4B3D09E7">
            <w:pPr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1. 骨科机器人动物实验验证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 w14:paraId="77A7B58D">
            <w:pPr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1. 完成相关动物实验，验证机器人精准性和安全性，误差小于2-3mm</w:t>
            </w:r>
          </w:p>
        </w:tc>
      </w:tr>
      <w:tr w14:paraId="4A4F3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F53B66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CFA444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30FF06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7BBCE1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02E862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BC1D2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ACC0E">
            <w:pPr>
              <w:widowControl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2. 骨科机器人前期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eastAsia="zh-CN"/>
              </w:rPr>
              <w:t>临床试验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CD4B9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2. 完成前期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  <w:lang w:eastAsia="zh-CN"/>
              </w:rPr>
              <w:t>临床试验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，误差小于2-3mm，内固定优良率提高10%</w:t>
            </w:r>
          </w:p>
        </w:tc>
      </w:tr>
      <w:tr w14:paraId="002A5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4510B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7AC6EF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CF769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进度指标</w:t>
            </w:r>
          </w:p>
        </w:tc>
        <w:tc>
          <w:tcPr>
            <w:tcW w:w="14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F50F8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课题实施年度</w:t>
            </w:r>
          </w:p>
        </w:tc>
        <w:tc>
          <w:tcPr>
            <w:tcW w:w="22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0983B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一年</w:t>
            </w:r>
          </w:p>
        </w:tc>
        <w:tc>
          <w:tcPr>
            <w:tcW w:w="86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FA729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0E5A0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课题实施年度</w:t>
            </w:r>
          </w:p>
        </w:tc>
        <w:tc>
          <w:tcPr>
            <w:tcW w:w="2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8594A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一年</w:t>
            </w:r>
          </w:p>
        </w:tc>
      </w:tr>
      <w:tr w14:paraId="4050CD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6E934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03E59D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F0D73E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BF98D6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23F98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C3E5C4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1502C4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2330B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</w:tr>
      <w:tr w14:paraId="0AE7BC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DB6B91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988BC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效 果 指 标</w:t>
            </w:r>
          </w:p>
        </w:tc>
        <w:tc>
          <w:tcPr>
            <w:tcW w:w="994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B3474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效益指标（经济效益）</w:t>
            </w:r>
          </w:p>
        </w:tc>
        <w:tc>
          <w:tcPr>
            <w:tcW w:w="14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C6B01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降低手术并发症，降低住院时间，减少医疗花费</w:t>
            </w:r>
          </w:p>
        </w:tc>
        <w:tc>
          <w:tcPr>
            <w:tcW w:w="22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43A6E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降低住院时间1-2天</w:t>
            </w:r>
          </w:p>
        </w:tc>
        <w:tc>
          <w:tcPr>
            <w:tcW w:w="86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FA534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8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48F4B">
            <w:pPr>
              <w:widowControl/>
              <w:jc w:val="center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降低手术并发症，降低住院时间，减少医疗花费</w:t>
            </w:r>
          </w:p>
          <w:p w14:paraId="29C71D72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EF875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降低住院时间1-2天</w:t>
            </w:r>
          </w:p>
        </w:tc>
      </w:tr>
      <w:tr w14:paraId="31E5D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315C5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E205A6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1B805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88FEA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E38C8F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E8307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842FBD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0899F6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</w:tr>
      <w:tr w14:paraId="5A42E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3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BB2F40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FD8F27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EAB1D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效益指标（社会效益）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86F10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实现常规手术微创化、关键操作智能化，提升骨科手术内置物的精度，降低术中透视时间，降低高风险手术风险</w:t>
            </w:r>
          </w:p>
        </w:tc>
        <w:tc>
          <w:tcPr>
            <w:tcW w:w="2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742C9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术中透视减少30%，内植物精度提升10%，高复杂手术成功率提升10%</w:t>
            </w:r>
          </w:p>
        </w:tc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90393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效益指标（社会效益）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 w14:paraId="34351ABC">
            <w:pPr>
              <w:widowControl/>
              <w:jc w:val="center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实现常规手术微创化、关键操作智能化，提升骨科手术内置物的精度，降低术中透视时间，降低高风险手术风险</w:t>
            </w:r>
          </w:p>
          <w:p w14:paraId="0CB32646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  <w:p w14:paraId="571DEA71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A4CACF8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92CB88E">
            <w:pPr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 w14:paraId="00E1887C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术中透视减少30%，内植物精度提升10%，高复杂手术成功率提升10%</w:t>
            </w:r>
          </w:p>
          <w:p w14:paraId="6149ECFA">
            <w:pPr>
              <w:widowControl/>
              <w:jc w:val="center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6859ED4">
            <w:pPr>
              <w:widowControl/>
              <w:jc w:val="center"/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  <w:p w14:paraId="0C10D20A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  <w:p w14:paraId="07B62C49">
            <w:pPr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016C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130AE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D8D4B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7378E89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B5A91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D5F30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5191E0F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CC5A79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6C157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11A30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QwZDM2ODhiMTEwNDkyMjhmYWYxMmJlZGZlMTNmN2YifQ=="/>
  </w:docVars>
  <w:rsids>
    <w:rsidRoot w:val="00C8244C"/>
    <w:rsid w:val="000040E0"/>
    <w:rsid w:val="000A224E"/>
    <w:rsid w:val="0012041D"/>
    <w:rsid w:val="001875BD"/>
    <w:rsid w:val="001A2D15"/>
    <w:rsid w:val="001B2639"/>
    <w:rsid w:val="00335BF7"/>
    <w:rsid w:val="003D5003"/>
    <w:rsid w:val="00410C17"/>
    <w:rsid w:val="00641E9D"/>
    <w:rsid w:val="006D1842"/>
    <w:rsid w:val="007A7648"/>
    <w:rsid w:val="00AF3CAC"/>
    <w:rsid w:val="00B64949"/>
    <w:rsid w:val="00B95389"/>
    <w:rsid w:val="00BB6553"/>
    <w:rsid w:val="00C8244C"/>
    <w:rsid w:val="00C86612"/>
    <w:rsid w:val="00D564FF"/>
    <w:rsid w:val="00FF4C09"/>
    <w:rsid w:val="2F1748DC"/>
    <w:rsid w:val="302B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835</Words>
  <Characters>920</Characters>
  <Lines>7</Lines>
  <Paragraphs>2</Paragraphs>
  <TotalTime>12</TotalTime>
  <ScaleCrop>false</ScaleCrop>
  <LinksUpToDate>false</LinksUpToDate>
  <CharactersWithSpaces>957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2017-09-12T01:00:00Z</dcterms:created>
  <dc:creator>01</dc:creator>
  <cp:lastModifiedBy>秉</cp:lastModifiedBy>
  <dcterms:modified xsi:type="dcterms:W3CDTF">2025-02-28T06:40:00Z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88F212C2025946748742CDC05DDFDC8C_12</vt:lpwstr>
  </property>
  <property fmtid="{D5CDD505-2E9C-101B-9397-08002B2CF9AE}" pid="4" name="KSOTemplateDocerSaveRecord">
    <vt:lpwstr>eyJoZGlkIjoiMTQwZDM2ODhiMTEwNDkyMjhmYWYxMmJlZGZlMTNmN2YiLCJ1c2VySWQiOiI1MjM0MjE0NjQifQ==</vt:lpwstr>
  </property>
</Properties>
</file>