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13"/>
        <w:gridCol w:w="462"/>
        <w:gridCol w:w="974"/>
        <w:gridCol w:w="896"/>
        <w:gridCol w:w="1268"/>
        <w:gridCol w:w="736"/>
        <w:gridCol w:w="1319"/>
        <w:gridCol w:w="16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（2018-2020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72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直肠癌新辅助放化疗后免疫微环境研究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36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  <w:lang w:val="en-US" w:eastAsia="zh-CN"/>
              </w:rPr>
              <w:t>卫生和计划生育委员会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北京市肿瘤防治研究所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36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新增项目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23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40万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3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40万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3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4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41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中期目标（2018年—2019年）</w:t>
            </w:r>
          </w:p>
        </w:tc>
        <w:tc>
          <w:tcPr>
            <w:tcW w:w="368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2018年度目标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1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60"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目标1：基于横断面设计分析PD-L1等标志物表达情况与临床指标的相关性，评估PD-L1与放疗敏感性的相关关系；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目标2： 自身对照设计，检测治疗前后PD-L1等标志物改变情况，评价新辅助放疗对PD-L1表达的影响；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目标3： 基于历史队列的生存分析，探讨基线、治疗后PD-L1等标志物表达、TILs状态及其治疗前后变化对患者远期生存的影响，从而筛选出适合于新辅助放化疗的直肠癌患者，优化直肠癌治疗及随访策略。</w:t>
            </w:r>
          </w:p>
        </w:tc>
        <w:tc>
          <w:tcPr>
            <w:tcW w:w="368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目标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回顾性收集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2007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年至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2011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687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例接受调强放化疗的直肠癌病例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目标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：完成各项免疫组化指标的预实验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 xml:space="preserve"> 收集接受调强放化疗的直肠癌病例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687例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 收集接受调强放化疗的直肠癌病例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687例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准备免疫组化试剂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6项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指标2：准备免疫组化试剂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6项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指标3：完成免疫组化指标预实验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6项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完善病理信息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符合率≥90%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指标1：完善病理信息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符合率≥90%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完善随访资料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符合率≥90%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指标2：完善随访资料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符合率≥90%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指标3：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完成免疫组化指标预实验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符合率≥90%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完成病理资料收集时间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当年12月前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指标1：完成病理资料收集时间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当年12月前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完成随访资料收集时间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当年12月前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指标2：完成随访资料收集时间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当年12月前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指标3：完成免疫组化预实验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当年12月前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指标1：免疫组化试剂及耗材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34万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指标1：免疫组化试剂及耗材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17万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指标2：文献及知识产权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0.8万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指标3：劳务费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1.9万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……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指标4：间接经费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3.3万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……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指标1：直肠癌放化疗后病理学评价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完善病理学评价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直肠癌放化疗后病理学评价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完善病理学评价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指标2：直肠癌放化疗后免疫机制评估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2"/>
              </w:rPr>
              <w:t>初步完成直肠癌放化疗后免疫机制评估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……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……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……</w:t>
            </w:r>
          </w:p>
        </w:tc>
        <w:tc>
          <w:tcPr>
            <w:tcW w:w="8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……</w:t>
            </w:r>
          </w:p>
        </w:tc>
        <w:tc>
          <w:tcPr>
            <w:tcW w:w="13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1DF7"/>
    <w:rsid w:val="00090346"/>
    <w:rsid w:val="0010161C"/>
    <w:rsid w:val="00174A80"/>
    <w:rsid w:val="00201DF7"/>
    <w:rsid w:val="0023386F"/>
    <w:rsid w:val="00FF3ABC"/>
    <w:rsid w:val="320B37D5"/>
    <w:rsid w:val="4E3A6F1D"/>
    <w:rsid w:val="5232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191</Words>
  <Characters>1093</Characters>
  <Lines>9</Lines>
  <Paragraphs>2</Paragraphs>
  <ScaleCrop>false</ScaleCrop>
  <LinksUpToDate>false</LinksUpToDate>
  <CharactersWithSpaces>1282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2018-01-29T14:58:00Z</dcterms:created>
  <dc:creator>李</dc:creator>
  <cp:lastModifiedBy>Administrator</cp:lastModifiedBy>
  <dcterms:modified xsi:type="dcterms:W3CDTF">2018-02-08T09:59:53Z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