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6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120"/>
        <w:gridCol w:w="1040"/>
        <w:gridCol w:w="1040"/>
        <w:gridCol w:w="1180"/>
        <w:gridCol w:w="2080"/>
        <w:gridCol w:w="1040"/>
        <w:gridCol w:w="1040"/>
        <w:gridCol w:w="2080"/>
        <w:gridCol w:w="2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  <w:t>项目支出绩效目标申报表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  2018     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1158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基于多组学的消化道癌分子分型研究项目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主管部门及代码</w:t>
            </w:r>
          </w:p>
        </w:tc>
        <w:tc>
          <w:tcPr>
            <w:tcW w:w="53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北京市卫生和计划生育委员会</w:t>
            </w:r>
            <w:bookmarkStart w:id="0" w:name="_GoBack"/>
            <w:bookmarkEnd w:id="0"/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实施单位</w:t>
            </w:r>
          </w:p>
        </w:tc>
        <w:tc>
          <w:tcPr>
            <w:tcW w:w="4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北京市肿瘤防治研究所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项目属性</w:t>
            </w:r>
          </w:p>
        </w:tc>
        <w:tc>
          <w:tcPr>
            <w:tcW w:w="53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新增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项目期</w:t>
            </w:r>
          </w:p>
        </w:tc>
        <w:tc>
          <w:tcPr>
            <w:tcW w:w="4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3年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项目资金 （万元）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中期资金总额：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592.2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年度资金总额：</w:t>
            </w:r>
          </w:p>
        </w:tc>
        <w:tc>
          <w:tcPr>
            <w:tcW w:w="4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192.2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592.2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4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192.2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0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4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 体 目 标</w:t>
            </w:r>
          </w:p>
        </w:tc>
        <w:tc>
          <w:tcPr>
            <w:tcW w:w="64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中期目标（2018年—2020年）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2018年度目标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4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目标1：基本建立胃癌/贲门癌的分子分型框架；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目标2：鉴定出1-2个胃癌诊断和预后判断标志分子；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目标3：明确1-2个标志分子是否具有驱动胃癌/贲门癌发生发展的作用及其作用机制；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目标4：发表论文5篇，在高水平杂志上发表至少1篇；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目标5：获得1项发明专利授权；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目标6：培养博士、硕士研究生5名；锻造青年人才梯队，使得本学科后继有人。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1：完成CDKN2a/P16胃肠道恶性肿瘤发生相关基因的分子通路研究和DGKα/NLP复合体促进胃癌发生发展分子机制研究；目标2：多组学数据收集、建立新方法；目标3：完成胃癌转移复发随访队列构建；目标4：培养博士或硕士研究生1-2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绩 效 指 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产 出 指 标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培养博士、硕士研究生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5名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培养研究生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1-2名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发表文章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5篇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建立胃癌转移复发随访队列构建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600例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鉴定诊断预后判断分子标志物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1-2个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发表文章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获得发明专利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1项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建立多组学数据收集、建立新方法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明确标志分子是否具有驱动胃癌/贲门癌发生发展的作用及其作用机制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1-2个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研究生毕业率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100%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研究生毕业率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论文发表在SCI期刊的比例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100%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论文发表在SCI期刊的比例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建立框架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建立胃肠道恶性肿瘤的分子分型框架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各阶段完成进度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严格按照计划执行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各阶段完成进度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严格按照计划执行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完成分子信号通路和机制研究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完成CDKN2a/P16胃肠道恶性肿瘤发生相关基因的分子通路研究和DGKα/NLP复合体促进胃癌发生发展分子机制研究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成本指标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项目预算控制数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600万元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成本指标</w:t>
            </w: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项目预算控制数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国际/国内专家会议/讲座成本费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≤3万元/人次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国际/国内专家会议/讲座成本费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≤3万元/人次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 果 指 标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锻造青年研究队伍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有所提高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锻造青年研究队伍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对胃癌诊断和预后判断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提高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对胃癌诊断和预后判断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学科在全国及世界的影响力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维持学科水平国内领先、国际先进地位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学科在全国及世界的影响力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维持学科水平国内领先、国际先进地位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培养学生的专业水平综合素质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有所提高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培养学生的专业水平综合素质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项目主管单位满意度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95%以上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项目主管单位满意度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95%以上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受益患者满意度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90%以上</w:t>
            </w: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受益患者满意度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90%以上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DD"/>
    <w:rsid w:val="008D7497"/>
    <w:rsid w:val="009939DD"/>
    <w:rsid w:val="2426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</Words>
  <Characters>1162</Characters>
  <Lines>9</Lines>
  <Paragraphs>2</Paragraphs>
  <ScaleCrop>false</ScaleCrop>
  <LinksUpToDate>false</LinksUpToDate>
  <CharactersWithSpaces>1363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2018-01-29T08:46:00Z</dcterms:created>
  <dc:creator>HANSKY</dc:creator>
  <cp:lastModifiedBy>Administrator</cp:lastModifiedBy>
  <dcterms:modified xsi:type="dcterms:W3CDTF">2018-02-07T08:42:03Z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