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1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63"/>
        <w:gridCol w:w="761"/>
        <w:gridCol w:w="90"/>
        <w:gridCol w:w="744"/>
        <w:gridCol w:w="54"/>
        <w:gridCol w:w="797"/>
        <w:gridCol w:w="1266"/>
        <w:gridCol w:w="419"/>
        <w:gridCol w:w="851"/>
        <w:gridCol w:w="148"/>
        <w:gridCol w:w="351"/>
        <w:gridCol w:w="1582"/>
        <w:gridCol w:w="310"/>
        <w:gridCol w:w="8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After w:val="1"/>
          <w:wAfter w:w="851" w:type="dxa"/>
          <w:trHeight w:val="645" w:hRule="atLeast"/>
        </w:trPr>
        <w:tc>
          <w:tcPr>
            <w:tcW w:w="8336" w:type="dxa"/>
            <w:gridSpan w:val="13"/>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37"/>
                <w:szCs w:val="37"/>
                <w:u w:val="none"/>
              </w:rPr>
            </w:pPr>
            <w:r>
              <w:rPr>
                <w:rFonts w:ascii="宋体" w:hAnsi="宋体" w:eastAsia="宋体" w:cs="宋体"/>
                <w:b/>
                <w:i w:val="0"/>
                <w:color w:val="000000"/>
                <w:kern w:val="0"/>
                <w:sz w:val="37"/>
                <w:szCs w:val="37"/>
                <w:u w:val="none"/>
                <w:lang w:val="en-US" w:eastAsia="zh-CN" w:bidi="ar"/>
              </w:rPr>
              <w:t>项目支出绩效目标申报表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465" w:hRule="atLeast"/>
        </w:trPr>
        <w:tc>
          <w:tcPr>
            <w:tcW w:w="8336" w:type="dxa"/>
            <w:gridSpan w:val="13"/>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（2018年度）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45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项目名称</w:t>
            </w:r>
          </w:p>
        </w:tc>
        <w:tc>
          <w:tcPr>
            <w:tcW w:w="737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结核病快速分子诊断与药物评价综合技术平台的建立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45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主管部门及代码</w:t>
            </w:r>
          </w:p>
        </w:tc>
        <w:tc>
          <w:tcPr>
            <w:tcW w:w="41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北京市卫生和计划生育委员会</w:t>
            </w:r>
            <w:bookmarkStart w:id="0" w:name="_GoBack"/>
            <w:bookmarkEnd w:id="0"/>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实施单位</w:t>
            </w:r>
          </w:p>
        </w:tc>
        <w:tc>
          <w:tcPr>
            <w:tcW w:w="2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北京市结核病胸部肿瘤研究所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45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项目属性</w:t>
            </w:r>
          </w:p>
        </w:tc>
        <w:tc>
          <w:tcPr>
            <w:tcW w:w="41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新增项目</w:t>
            </w:r>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项目期</w:t>
            </w:r>
          </w:p>
        </w:tc>
        <w:tc>
          <w:tcPr>
            <w:tcW w:w="2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一年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450" w:hRule="atLeast"/>
        </w:trPr>
        <w:tc>
          <w:tcPr>
            <w:tcW w:w="9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项目资金 （万元）</w:t>
            </w:r>
          </w:p>
        </w:tc>
        <w:tc>
          <w:tcPr>
            <w:tcW w:w="15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中期资金总额：</w:t>
            </w:r>
          </w:p>
        </w:tc>
        <w:tc>
          <w:tcPr>
            <w:tcW w:w="25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年度资金总额：</w:t>
            </w:r>
          </w:p>
        </w:tc>
        <w:tc>
          <w:tcPr>
            <w:tcW w:w="2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442.36万元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450" w:hRule="atLeast"/>
        </w:trPr>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5"/>
                <w:szCs w:val="25"/>
                <w:u w:val="none"/>
              </w:rPr>
            </w:pPr>
          </w:p>
        </w:tc>
        <w:tc>
          <w:tcPr>
            <w:tcW w:w="15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其中：财政拨款</w:t>
            </w:r>
          </w:p>
        </w:tc>
        <w:tc>
          <w:tcPr>
            <w:tcW w:w="25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其中：财政拨款</w:t>
            </w:r>
          </w:p>
        </w:tc>
        <w:tc>
          <w:tcPr>
            <w:tcW w:w="2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442.36万元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450" w:hRule="atLeast"/>
        </w:trPr>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5"/>
                <w:szCs w:val="25"/>
                <w:u w:val="none"/>
              </w:rPr>
            </w:pPr>
          </w:p>
        </w:tc>
        <w:tc>
          <w:tcPr>
            <w:tcW w:w="15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其他资金</w:t>
            </w:r>
          </w:p>
        </w:tc>
        <w:tc>
          <w:tcPr>
            <w:tcW w:w="25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其他资金</w:t>
            </w:r>
          </w:p>
        </w:tc>
        <w:tc>
          <w:tcPr>
            <w:tcW w:w="2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540" w:hRule="atLeast"/>
        </w:trPr>
        <w:tc>
          <w:tcPr>
            <w:tcW w:w="17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总 体 目 标</w:t>
            </w:r>
          </w:p>
        </w:tc>
        <w:tc>
          <w:tcPr>
            <w:tcW w:w="33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中期目标</w:t>
            </w:r>
          </w:p>
        </w:tc>
        <w:tc>
          <w:tcPr>
            <w:tcW w:w="32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2018年度目标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851" w:type="dxa"/>
          <w:trHeight w:val="544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3370" w:type="dxa"/>
            <w:gridSpan w:val="6"/>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32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 建立基于结核杆菌病原体的快速分子诊断技术平台，完成结核病诊断标本数超过1000份/年；耐药分子诊断标本数超过800份/年；分枝杆菌菌种鉴定技术标本数超过200份/年；肺外结核标本200份。</w:t>
            </w:r>
            <w:r>
              <w:rPr>
                <w:rFonts w:ascii="宋体" w:hAnsi="宋体" w:eastAsia="宋体" w:cs="宋体"/>
                <w:i w:val="0"/>
                <w:color w:val="000000"/>
                <w:kern w:val="0"/>
                <w:sz w:val="25"/>
                <w:szCs w:val="25"/>
                <w:u w:val="none"/>
                <w:lang w:val="en-US" w:eastAsia="zh-CN" w:bidi="ar"/>
              </w:rPr>
              <w:br w:type="textWrapping"/>
            </w:r>
            <w:r>
              <w:rPr>
                <w:rFonts w:ascii="宋体" w:hAnsi="宋体" w:eastAsia="宋体" w:cs="宋体"/>
                <w:i w:val="0"/>
                <w:color w:val="000000"/>
                <w:kern w:val="0"/>
                <w:sz w:val="25"/>
                <w:szCs w:val="25"/>
                <w:u w:val="none"/>
                <w:lang w:val="en-US" w:eastAsia="zh-CN" w:bidi="ar"/>
              </w:rPr>
              <w:t>2. 获得关于Xpert MTB/RIF ULTRA试剂盒的评估数据，包括敏感性、特异性、可操作性等，以及此项技术对肺外结核病，如结核性胸膜炎、结核性脑膜炎，以及淋巴结核、骨关节结核等的诊断价值。</w:t>
            </w:r>
            <w:r>
              <w:rPr>
                <w:rFonts w:ascii="宋体" w:hAnsi="宋体" w:eastAsia="宋体" w:cs="宋体"/>
                <w:i w:val="0"/>
                <w:color w:val="000000"/>
                <w:kern w:val="0"/>
                <w:sz w:val="25"/>
                <w:szCs w:val="25"/>
                <w:u w:val="none"/>
                <w:lang w:val="en-US" w:eastAsia="zh-CN" w:bidi="ar"/>
              </w:rPr>
              <w:br w:type="textWrapping"/>
            </w:r>
            <w:r>
              <w:rPr>
                <w:rFonts w:ascii="宋体" w:hAnsi="宋体" w:eastAsia="宋体" w:cs="宋体"/>
                <w:i w:val="0"/>
                <w:color w:val="000000"/>
                <w:kern w:val="0"/>
                <w:sz w:val="25"/>
                <w:szCs w:val="25"/>
                <w:u w:val="none"/>
                <w:lang w:val="en-US" w:eastAsia="zh-CN" w:bidi="ar"/>
              </w:rPr>
              <w:t>3. 评估新分子诊断技术1-2项，开展至少一项新分子诊断技术，为临床患者服务。</w:t>
            </w:r>
            <w:r>
              <w:rPr>
                <w:rFonts w:ascii="宋体" w:hAnsi="宋体" w:eastAsia="宋体" w:cs="宋体"/>
                <w:i w:val="0"/>
                <w:color w:val="000000"/>
                <w:kern w:val="0"/>
                <w:sz w:val="25"/>
                <w:szCs w:val="25"/>
                <w:u w:val="none"/>
                <w:lang w:val="en-US" w:eastAsia="zh-CN" w:bidi="ar"/>
              </w:rPr>
              <w:br w:type="textWrapping"/>
            </w:r>
            <w:r>
              <w:rPr>
                <w:rFonts w:ascii="宋体" w:hAnsi="宋体" w:eastAsia="宋体" w:cs="宋体"/>
                <w:i w:val="0"/>
                <w:color w:val="000000"/>
                <w:kern w:val="0"/>
                <w:sz w:val="25"/>
                <w:szCs w:val="25"/>
                <w:u w:val="none"/>
                <w:lang w:val="en-US" w:eastAsia="zh-CN" w:bidi="ar"/>
              </w:rPr>
              <w:t>4. 建立基于宿主的分子诊断技术平台，包括多色荧光ELISPOT技术、结核病游离DNA的数字PCR检测技术。筛选候选新型宿主分子诊断标识物2-3个。</w:t>
            </w:r>
            <w:r>
              <w:rPr>
                <w:rFonts w:ascii="宋体" w:hAnsi="宋体" w:eastAsia="宋体" w:cs="宋体"/>
                <w:i w:val="0"/>
                <w:color w:val="000000"/>
                <w:kern w:val="0"/>
                <w:sz w:val="25"/>
                <w:szCs w:val="25"/>
                <w:u w:val="none"/>
                <w:lang w:val="en-US" w:eastAsia="zh-CN" w:bidi="ar"/>
              </w:rPr>
              <w:br w:type="textWrapping"/>
            </w:r>
            <w:r>
              <w:rPr>
                <w:rFonts w:ascii="宋体" w:hAnsi="宋体" w:eastAsia="宋体" w:cs="宋体"/>
                <w:i w:val="0"/>
                <w:color w:val="000000"/>
                <w:kern w:val="0"/>
                <w:sz w:val="25"/>
                <w:szCs w:val="25"/>
                <w:u w:val="none"/>
                <w:lang w:val="en-US" w:eastAsia="zh-CN" w:bidi="ar"/>
              </w:rPr>
              <w:t>5. 建立至少一项基于高通量测序技术的结核病和其他分枝杆菌病以及耐药结核病的分子病理学诊断方法。</w:t>
            </w:r>
            <w:r>
              <w:rPr>
                <w:rFonts w:ascii="宋体" w:hAnsi="宋体" w:eastAsia="宋体" w:cs="宋体"/>
                <w:i w:val="0"/>
                <w:color w:val="000000"/>
                <w:kern w:val="0"/>
                <w:sz w:val="25"/>
                <w:szCs w:val="25"/>
                <w:u w:val="none"/>
                <w:lang w:val="en-US" w:eastAsia="zh-CN" w:bidi="ar"/>
              </w:rPr>
              <w:br w:type="textWrapping"/>
            </w:r>
            <w:r>
              <w:rPr>
                <w:rFonts w:ascii="宋体" w:hAnsi="宋体" w:eastAsia="宋体" w:cs="宋体"/>
                <w:i w:val="0"/>
                <w:color w:val="000000"/>
                <w:kern w:val="0"/>
                <w:sz w:val="25"/>
                <w:szCs w:val="25"/>
                <w:u w:val="none"/>
                <w:lang w:val="en-US" w:eastAsia="zh-CN" w:bidi="ar"/>
              </w:rPr>
              <w:t>6. 建立结核病药物筛选与药理学研究平台，筛选与评价新抗结核化合物200-500个，参与评价、申请抗结核新药1-2个。</w:t>
            </w:r>
            <w:r>
              <w:rPr>
                <w:rFonts w:ascii="宋体" w:hAnsi="宋体" w:eastAsia="宋体" w:cs="宋体"/>
                <w:i w:val="0"/>
                <w:color w:val="000000"/>
                <w:kern w:val="0"/>
                <w:sz w:val="25"/>
                <w:szCs w:val="25"/>
                <w:u w:val="none"/>
                <w:lang w:val="en-US" w:eastAsia="zh-CN" w:bidi="ar"/>
              </w:rPr>
              <w:br w:type="textWrapping"/>
            </w:r>
            <w:r>
              <w:rPr>
                <w:rFonts w:ascii="宋体" w:hAnsi="宋体" w:eastAsia="宋体" w:cs="宋体"/>
                <w:i w:val="0"/>
                <w:color w:val="000000"/>
                <w:kern w:val="0"/>
                <w:sz w:val="25"/>
                <w:szCs w:val="25"/>
                <w:u w:val="none"/>
                <w:lang w:val="en-US" w:eastAsia="zh-CN" w:bidi="ar"/>
              </w:rPr>
              <w:t>7. 研究成果申报国家发明专利2项以上，发表文章15篇以上，其中SCI文章不低于10篇。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17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绩 效 指 标</w:t>
            </w:r>
          </w:p>
        </w:tc>
        <w:tc>
          <w:tcPr>
            <w:tcW w:w="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一级指标</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二级指标</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三级指标</w:t>
            </w: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指标值</w:t>
            </w:r>
          </w:p>
        </w:tc>
        <w:tc>
          <w:tcPr>
            <w:tcW w:w="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二级指标</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三级指标</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 xml:space="preserve">产出指标 </w:t>
            </w:r>
          </w:p>
        </w:tc>
        <w:tc>
          <w:tcPr>
            <w:tcW w:w="798" w:type="dxa"/>
            <w:gridSpan w:val="2"/>
            <w:vMerge w:val="restart"/>
            <w:tcBorders>
              <w:left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数量指标</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restart"/>
            <w:tcBorders>
              <w:left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数量指标</w:t>
            </w: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完成结核病诊断标本数</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≥1000例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耐药分子诊断标本数</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≥800例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分枝杆菌菌种鉴定标本数</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≥200例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肺外结核标本</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≥200例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评估并开展新分子诊断技术</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建立基于宿主的分子诊断技术</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筛选候选新型宿主分子诊断标识物</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建立结核病分子病理学诊断方法</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筛选与评价新抗结核化合物</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200-500个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参与评价、申请抗结核新药</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发表文章</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≥15篇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left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申请专利</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2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Style w:val="4"/>
                <w:lang w:val="en-US" w:eastAsia="zh-CN" w:bidi="ar"/>
              </w:rPr>
              <w:t>质量指标</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质量指标</w:t>
            </w: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获得新技术的评估数据</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包括此技术诊断结核病的敏感性、特异性、可操作性以及对部分肺外结核的诊断价值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建立的结核病分子病理学诊断方法需具备的能力</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可鉴别结核病和其他分枝杆菌病，可诊断耐药结核病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筛选候选新型宿主分子诊断标识物</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建立诊断模型，并进行初步的小样本验证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FF0000"/>
                <w:sz w:val="25"/>
                <w:szCs w:val="25"/>
                <w:u w:val="none"/>
              </w:rPr>
            </w:pP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各诊断平台先进性</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达到国际先进、全国领先水平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7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各诊断平台实用性</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平台使用率≥80%，70%的技术平台可为临床提供有价值的鉴别诊断信息或直接参与新药研发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各平台临床样本检测重复合格率</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发表文章中SCI文章比例</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中文文章水平</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100%为核心期刊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SCI文章水平</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平均影响因子≥2.5分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人员培训覆盖率</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科研人员培训覆盖率≥80%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Style w:val="4"/>
                <w:lang w:val="en-US" w:eastAsia="zh-CN" w:bidi="ar"/>
              </w:rPr>
              <w:t>进度指标</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进度指标</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引进技术和国内现有技术的评估工作</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2018年10月完成评估，12月完成评估报告。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6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新技术研发工作</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6月完成新技术的方法建立，9月建立验证研发技术的研究队列，12月完成小样本验证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文章发表</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10月前完成数据的收集，12月前完成文章并投稿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Style w:val="4"/>
                <w:lang w:val="en-US" w:eastAsia="zh-CN" w:bidi="ar"/>
              </w:rPr>
              <w:t>成本指标</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成本指标</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预算资金</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≤442.36万元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培训成本</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≤550元/人/天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实际成本与工作内容的匹配程度</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成本全部直接用于诊断平台建设、新技术研发或相关人才的梯队建设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6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产出成本控制措施的实施性</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完全按照预算实施，专人报销记账，年中进行进度和成本的评估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Style w:val="4"/>
                <w:lang w:val="en-US" w:eastAsia="zh-CN" w:bidi="ar"/>
              </w:rPr>
              <w:t>效 果 指 标</w:t>
            </w:r>
          </w:p>
        </w:tc>
        <w:tc>
          <w:tcPr>
            <w:tcW w:w="798" w:type="dxa"/>
            <w:gridSpan w:val="2"/>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社会效益</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效益指标</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提高结核病及耐药结核病诊疗水平</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诊断和药物评价平台的建立将有效提高我国结核病诊疗水平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SCI国际论文发表篇数</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≥10篇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国家核心期刊论文发表篇数</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≥5篇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知识产权情况</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≥2项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人才培养情况</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全面提高结核病科研人员科研水平，研究生毕业4人，职称晋升1人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环境效益</w:t>
            </w:r>
          </w:p>
        </w:tc>
        <w:tc>
          <w:tcPr>
            <w:tcW w:w="2063" w:type="dxa"/>
            <w:gridSpan w:val="2"/>
            <w:tcBorders>
              <w:top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161" w:type="dxa"/>
            <w:gridSpan w:val="2"/>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可持续影响</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研究成果的长期影响</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建立的技术平台后续可长期用于结核病的临床检测和科学研究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0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对疾病负担持续降低的促进作用</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诊断和药物评价平台的建立将有效提高诊疗水平，对降低我市乃至我国的结核病患病率、死亡率发挥促进作用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0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对人才梯队建设的促进作用</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有利于研究所、乃至北京市结核病研究领域的科研人才梯队建设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1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经济效益</w:t>
            </w:r>
          </w:p>
        </w:tc>
        <w:tc>
          <w:tcPr>
            <w:tcW w:w="2063" w:type="dxa"/>
            <w:gridSpan w:val="2"/>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控制和降低各类急慢性传染病发病率产生的间接经济效益</w:t>
            </w:r>
          </w:p>
        </w:tc>
        <w:tc>
          <w:tcPr>
            <w:tcW w:w="1161"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提高结核病及耐药结核病诊疗水平，降低患者因诊断不明或延误而导致的经济损失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Style w:val="4"/>
                <w:lang w:val="en-US" w:eastAsia="zh-CN" w:bidi="ar"/>
              </w:rPr>
              <w:t>服务对象 满意度指标</w:t>
            </w: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FF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服务对象 满意度指标</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决策部门对相关研究成果的决策参考价值认可度</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17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2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4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5"/>
                <w:szCs w:val="25"/>
                <w:u w:val="none"/>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参与培训人员满意度</w:t>
            </w:r>
          </w:p>
        </w:tc>
        <w:tc>
          <w:tcPr>
            <w:tcW w:w="1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25"/>
                <w:szCs w:val="25"/>
                <w:u w:val="none"/>
              </w:rPr>
            </w:pPr>
            <w:r>
              <w:rPr>
                <w:rFonts w:ascii="宋体" w:hAnsi="宋体" w:eastAsia="宋体" w:cs="宋体"/>
                <w:i w:val="0"/>
                <w:color w:val="000000"/>
                <w:kern w:val="0"/>
                <w:sz w:val="25"/>
                <w:szCs w:val="25"/>
                <w:u w:val="none"/>
                <w:lang w:val="en-US" w:eastAsia="zh-CN" w:bidi="ar"/>
              </w:rPr>
              <w:t>≥80%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Light">
    <w:altName w:val="黑体"/>
    <w:panose1 w:val="020B0502040204020203"/>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隶书">
    <w:panose1 w:val="0201050906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0F" w:csb1="00000000"/>
  </w:font>
  <w:font w:name="MS Gothic">
    <w:panose1 w:val="020B06090702050802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Yu Gothic">
    <w:altName w:val="Meiryo UI"/>
    <w:panose1 w:val="020B0400000000000000"/>
    <w:charset w:val="80"/>
    <w:family w:val="auto"/>
    <w:pitch w:val="default"/>
    <w:sig w:usb0="00000000" w:usb1="00000000" w:usb2="00000016" w:usb3="00000000" w:csb0="2002009F" w:csb1="00000000"/>
  </w:font>
  <w:font w:name="Yu Gothic Light">
    <w:altName w:val="Meiryo UI"/>
    <w:panose1 w:val="020B0300000000000000"/>
    <w:charset w:val="80"/>
    <w:family w:val="auto"/>
    <w:pitch w:val="default"/>
    <w:sig w:usb0="00000000" w:usb1="00000000" w:usb2="00000016" w:usb3="00000000" w:csb0="2002009F" w:csb1="00000000"/>
  </w:font>
  <w:font w:name="Yu Gothic Medium">
    <w:altName w:val="Meiryo UI"/>
    <w:panose1 w:val="020B05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Yu Gothic UI Semibold">
    <w:altName w:val="Meiryo UI"/>
    <w:panose1 w:val="020B0700000000000000"/>
    <w:charset w:val="80"/>
    <w:family w:val="auto"/>
    <w:pitch w:val="default"/>
    <w:sig w:usb0="00000000" w:usb1="00000000" w:usb2="00000016" w:usb3="00000000" w:csb0="2002009F" w:csb1="00000000"/>
  </w:font>
  <w:font w:name="Arial Narrow">
    <w:panose1 w:val="020B0606020202030204"/>
    <w:charset w:val="00"/>
    <w:family w:val="auto"/>
    <w:pitch w:val="default"/>
    <w:sig w:usb0="00000287" w:usb1="00000800" w:usb2="00000000" w:usb3="00000000" w:csb0="2000009F" w:csb1="DFD70000"/>
  </w:font>
  <w:font w:name="Berlin Sans FB">
    <w:panose1 w:val="020E0602020502020306"/>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 Antiqua">
    <w:panose1 w:val="020406020503050303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radley Hand ITC">
    <w:panose1 w:val="03070402050302030203"/>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E10002FF" w:usb1="4000FCFF" w:usb2="00000009" w:usb3="00000000" w:csb0="6000019F" w:csb1="DFD70000"/>
  </w:font>
  <w:font w:name="Copperplate Gothic Bold">
    <w:panose1 w:val="020E07050202060204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Ebrima">
    <w:panose1 w:val="02000000000000000000"/>
    <w:charset w:val="00"/>
    <w:family w:val="auto"/>
    <w:pitch w:val="default"/>
    <w:sig w:usb0="A000505F" w:usb1="02000041" w:usb2="00000000" w:usb3="00000404" w:csb0="00000093"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Felix Titling">
    <w:panose1 w:val="04060505060202020A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Gadugi">
    <w:panose1 w:val="020B0502040204020203"/>
    <w:charset w:val="00"/>
    <w:family w:val="auto"/>
    <w:pitch w:val="default"/>
    <w:sig w:usb0="00000003" w:usb1="00000000" w:usb2="00003000" w:usb3="00000000" w:csb0="00000001" w:csb1="00000000"/>
  </w:font>
  <w:font w:name="Garamond">
    <w:panose1 w:val="02020404030301010803"/>
    <w:charset w:val="00"/>
    <w:family w:val="auto"/>
    <w:pitch w:val="default"/>
    <w:sig w:usb0="00000287" w:usb1="00000000" w:usb2="00000000" w:usb3="00000000" w:csb0="0000009F" w:csb1="DFD70000"/>
  </w:font>
  <w:font w:name="Georgia">
    <w:panose1 w:val="02040502050405020303"/>
    <w:charset w:val="00"/>
    <w:family w:val="auto"/>
    <w:pitch w:val="default"/>
    <w:sig w:usb0="00000287" w:usb1="00000000" w:usb2="00000000" w:usb3="00000000" w:csb0="2000009F"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loucester MT Extra Condensed">
    <w:panose1 w:val="02030808020601010101"/>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arlow Solid Italic">
    <w:panose1 w:val="04030604020F02020D02"/>
    <w:charset w:val="00"/>
    <w:family w:val="auto"/>
    <w:pitch w:val="default"/>
    <w:sig w:usb0="00000003" w:usb1="00000000" w:usb2="00000000" w:usb3="00000000" w:csb0="20000001" w:csb1="00000000"/>
  </w:font>
  <w:font w:name="High Tower Text">
    <w:panose1 w:val="02040502050506030303"/>
    <w:charset w:val="00"/>
    <w:family w:val="auto"/>
    <w:pitch w:val="default"/>
    <w:sig w:usb0="00000003" w:usb1="00000000" w:usb2="00000000" w:usb3="00000000" w:csb0="20000001" w:csb1="00000000"/>
  </w:font>
  <w:font w:name="icomoon">
    <w:altName w:val="Segoe Print"/>
    <w:panose1 w:val="00000000000000000000"/>
    <w:charset w:val="00"/>
    <w:family w:val="auto"/>
    <w:pitch w:val="default"/>
    <w:sig w:usb0="00000000" w:usb1="00000000" w:usb2="00000000" w:usb3="00000000" w:csb0="00000001" w:csb1="00000000"/>
  </w:font>
  <w:font w:name="Impact">
    <w:panose1 w:val="020B0806030902050204"/>
    <w:charset w:val="00"/>
    <w:family w:val="auto"/>
    <w:pitch w:val="default"/>
    <w:sig w:usb0="00000287" w:usb1="00000000" w:usb2="00000000" w:usb3="00000000" w:csb0="2000009F" w:csb1="DFD70000"/>
  </w:font>
  <w:font w:name="Javanese Text">
    <w:altName w:val="Vrinda"/>
    <w:panose1 w:val="02000000000000000000"/>
    <w:charset w:val="00"/>
    <w:family w:val="auto"/>
    <w:pitch w:val="default"/>
    <w:sig w:usb0="00000000" w:usb1="00000000" w:usb2="00000000" w:usb3="00000000" w:csb0="00000001" w:csb1="00000000"/>
  </w:font>
  <w:font w:name="Jokerman">
    <w:panose1 w:val="04090605060D06020702"/>
    <w:charset w:val="00"/>
    <w:family w:val="auto"/>
    <w:pitch w:val="default"/>
    <w:sig w:usb0="00000003" w:usb1="00000000" w:usb2="00000000" w:usb3="00000000" w:csb0="20000001" w:csb1="00000000"/>
  </w:font>
  <w:font w:name="Kristen ITC">
    <w:panose1 w:val="030505020402020302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eelawadee UI">
    <w:altName w:val="Leelawadee"/>
    <w:panose1 w:val="020B0502040204020203"/>
    <w:charset w:val="00"/>
    <w:family w:val="auto"/>
    <w:pitch w:val="default"/>
    <w:sig w:usb0="00000000" w:usb1="00000000" w:usb2="00010000" w:usb3="00000001" w:csb0="00010101"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Console">
    <w:panose1 w:val="020B0609040504020204"/>
    <w:charset w:val="00"/>
    <w:family w:val="auto"/>
    <w:pitch w:val="default"/>
    <w:sig w:usb0="8000028F" w:usb1="00001800" w:usb2="00000000" w:usb3="00000000" w:csb0="0000001F" w:csb1="D7D7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tura MT Script Capitals">
    <w:panose1 w:val="03020802060602070202"/>
    <w:charset w:val="00"/>
    <w:family w:val="auto"/>
    <w:pitch w:val="default"/>
    <w:sig w:usb0="00000003" w:usb1="00000000" w:usb2="00000000" w:usb3="00000000" w:csb0="20000001" w:csb1="00000000"/>
  </w:font>
  <w:font w:name="Microsoft Himalaya">
    <w:panose1 w:val="01010100010101010101"/>
    <w:charset w:val="00"/>
    <w:family w:val="auto"/>
    <w:pitch w:val="default"/>
    <w:sig w:usb0="80000003" w:usb1="00010000" w:usb2="00000040" w:usb3="00000000" w:csb0="00000001" w:csb1="00000000"/>
  </w:font>
  <w:font w:name="Microsoft New Tai Lue">
    <w:panose1 w:val="020B0502040204020203"/>
    <w:charset w:val="00"/>
    <w:family w:val="auto"/>
    <w:pitch w:val="default"/>
    <w:sig w:usb0="00000003" w:usb1="00000000" w:usb2="8000000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Tai Le">
    <w:panose1 w:val="020B0502040204020203"/>
    <w:charset w:val="00"/>
    <w:family w:val="auto"/>
    <w:pitch w:val="default"/>
    <w:sig w:usb0="00000003" w:usb1="00000000" w:usb2="40000000" w:usb3="00000000" w:csb0="00000001" w:csb1="00000000"/>
  </w:font>
  <w:font w:name="Microsoft Yi Baiti">
    <w:panose1 w:val="03000500000000000000"/>
    <w:charset w:val="00"/>
    <w:family w:val="auto"/>
    <w:pitch w:val="default"/>
    <w:sig w:usb0="80000003" w:usb1="00010402" w:usb2="00080002" w:usb3="00000000" w:csb0="00000001" w:csb1="00000000"/>
  </w:font>
  <w:font w:name="Mistral">
    <w:panose1 w:val="03090702030407020403"/>
    <w:charset w:val="00"/>
    <w:family w:val="auto"/>
    <w:pitch w:val="default"/>
    <w:sig w:usb0="00000287" w:usb1="00000000" w:usb2="00000000" w:usb3="00000000" w:csb0="2000009F" w:csb1="DFD70000"/>
  </w:font>
  <w:font w:name="Modern No. 20">
    <w:panose1 w:val="02070704070505020303"/>
    <w:charset w:val="00"/>
    <w:family w:val="auto"/>
    <w:pitch w:val="default"/>
    <w:sig w:usb0="00000003"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 w:name="Monotype Corsiva">
    <w:panose1 w:val="03010101010201010101"/>
    <w:charset w:val="00"/>
    <w:family w:val="auto"/>
    <w:pitch w:val="default"/>
    <w:sig w:usb0="00000287" w:usb1="00000000" w:usb2="00000000" w:usb3="00000000" w:csb0="2000009F" w:csb1="DFD70000"/>
  </w:font>
  <w:font w:name="MS Reference Sans Serif">
    <w:panose1 w:val="020B0604030504040204"/>
    <w:charset w:val="00"/>
    <w:family w:val="auto"/>
    <w:pitch w:val="default"/>
    <w:sig w:usb0="00000287" w:usb1="00000000" w:usb2="00000000" w:usb3="00000000" w:csb0="2000019F" w:csb1="00000000"/>
  </w:font>
  <w:font w:name="MS Reference Specialty">
    <w:panose1 w:val="05000500000000000000"/>
    <w:charset w:val="00"/>
    <w:family w:val="auto"/>
    <w:pitch w:val="default"/>
    <w:sig w:usb0="00000000" w:usb1="00000000" w:usb2="00000000" w:usb3="00000000" w:csb0="80000000" w:csb1="00000000"/>
  </w:font>
  <w:font w:name="Myanmar Text">
    <w:altName w:val="Vrinda"/>
    <w:panose1 w:val="020B0502040204020203"/>
    <w:charset w:val="00"/>
    <w:family w:val="auto"/>
    <w:pitch w:val="default"/>
    <w:sig w:usb0="00000000" w:usb1="00000000" w:usb2="00000400" w:usb3="00000000" w:csb0="00000001" w:csb1="000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irmala UI">
    <w:panose1 w:val="020B0502040204020203"/>
    <w:charset w:val="00"/>
    <w:family w:val="auto"/>
    <w:pitch w:val="default"/>
    <w:sig w:usb0="80FF8023" w:usb1="0000004A" w:usb2="00000200" w:usb3="00040000" w:csb0="00000001" w:csb1="00000000"/>
  </w:font>
  <w:font w:name="OCR A Extended">
    <w:panose1 w:val="02010509020102010303"/>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Palace Script MT">
    <w:panose1 w:val="030303020206070C0B05"/>
    <w:charset w:val="00"/>
    <w:family w:val="auto"/>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Papyrus">
    <w:panose1 w:val="03070502060502030205"/>
    <w:charset w:val="00"/>
    <w:family w:val="auto"/>
    <w:pitch w:val="default"/>
    <w:sig w:usb0="00000003" w:usb1="00000000" w:usb2="00000000" w:usb3="00000000" w:csb0="20000001" w:csb1="00000000"/>
  </w:font>
  <w:font w:name="Parchment">
    <w:panose1 w:val="03040602040708040804"/>
    <w:charset w:val="00"/>
    <w:family w:val="auto"/>
    <w:pitch w:val="default"/>
    <w:sig w:usb0="00000003"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Rockwell Condensed">
    <w:panose1 w:val="02060603050405020104"/>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Segoe UI Black">
    <w:altName w:val="Segoe UI"/>
    <w:panose1 w:val="020B0A02040204020203"/>
    <w:charset w:val="00"/>
    <w:family w:val="auto"/>
    <w:pitch w:val="default"/>
    <w:sig w:usb0="00000000" w:usb1="00000000" w:usb2="00000021" w:usb3="00000000" w:csb0="2000019F" w:csb1="00000000"/>
  </w:font>
  <w:font w:name="Segoe UI Semilight">
    <w:panose1 w:val="020B0402040204020203"/>
    <w:charset w:val="00"/>
    <w:family w:val="auto"/>
    <w:pitch w:val="default"/>
    <w:sig w:usb0="E4002EFF" w:usb1="C000E47F" w:usb2="00000009" w:usb3="00000000" w:csb0="200001FF" w:csb1="00000000"/>
  </w:font>
  <w:font w:name="Segoe UI Symbol">
    <w:panose1 w:val="020B0502040204020203"/>
    <w:charset w:val="00"/>
    <w:family w:val="auto"/>
    <w:pitch w:val="default"/>
    <w:sig w:usb0="8000006F" w:usb1="1200FBEF" w:usb2="0064C000" w:usb3="00000002" w:csb0="00000001" w:csb1="40000000"/>
  </w:font>
  <w:font w:name="Showcard Gothic">
    <w:panose1 w:val="04020904020102020604"/>
    <w:charset w:val="00"/>
    <w:family w:val="auto"/>
    <w:pitch w:val="default"/>
    <w:sig w:usb0="00000003" w:usb1="00000000" w:usb2="00000000" w:usb3="00000000" w:csb0="20000001" w:csb1="00000000"/>
  </w:font>
  <w:font w:name="Sitka Subheading">
    <w:altName w:val="PMingLiU-ExtB"/>
    <w:panose1 w:val="02000505000000020004"/>
    <w:charset w:val="00"/>
    <w:family w:val="auto"/>
    <w:pitch w:val="default"/>
    <w:sig w:usb0="00000000" w:usb1="00000000" w:usb2="00000000" w:usb3="00000000" w:csb0="200001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rebuchet MS">
    <w:panose1 w:val="020B0603020202020204"/>
    <w:charset w:val="00"/>
    <w:family w:val="auto"/>
    <w:pitch w:val="default"/>
    <w:sig w:usb0="00000287" w:usb1="00000000" w:usb2="00000000" w:usb3="00000000" w:csb0="2000009F"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Tw Cen MT Condensed Extra Bold">
    <w:panose1 w:val="020B0803020202020204"/>
    <w:charset w:val="00"/>
    <w:family w:val="auto"/>
    <w:pitch w:val="default"/>
    <w:sig w:usb0="00000003"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Vladimir Script">
    <w:panose1 w:val="03050402040407070305"/>
    <w:charset w:val="00"/>
    <w:family w:val="auto"/>
    <w:pitch w:val="default"/>
    <w:sig w:usb0="00000003"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Meiryo UI">
    <w:panose1 w:val="020B0604030504040204"/>
    <w:charset w:val="80"/>
    <w:family w:val="auto"/>
    <w:pitch w:val="default"/>
    <w:sig w:usb0="E10102FF" w:usb1="EAC7FFFF" w:usb2="00010012" w:usb3="00000000" w:csb0="6002009F" w:csb1="DFD70000"/>
  </w:font>
  <w:font w:name="Vrinda">
    <w:panose1 w:val="020B0502040204020203"/>
    <w:charset w:val="00"/>
    <w:family w:val="auto"/>
    <w:pitch w:val="default"/>
    <w:sig w:usb0="00010003" w:usb1="00000000" w:usb2="00000000" w:usb3="00000000" w:csb0="00000001" w:csb1="00000000"/>
  </w:font>
  <w:font w:name="Leelawadee">
    <w:panose1 w:val="020B0502040204020203"/>
    <w:charset w:val="00"/>
    <w:family w:val="auto"/>
    <w:pitch w:val="default"/>
    <w:sig w:usb0="01000001" w:usb1="00000000" w:usb2="00000000" w:usb3="00000000" w:csb0="20010001"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10022FF" w:usb1="C000E47F" w:usb2="00000029" w:usb3="00000000" w:csb0="200001DF" w:csb1="20000000"/>
  </w:font>
  <w:font w:name="等线">
    <w:altName w:val="Segoe Print"/>
    <w:panose1 w:val="00000000000000000000"/>
    <w:charset w:val="00"/>
    <w:family w:val="auto"/>
    <w:pitch w:val="default"/>
    <w:sig w:usb0="00000000" w:usb1="00000000" w:usb2="00000000" w:usb3="00000000" w:csb0="00000000" w:csb1="00000000"/>
  </w:font>
  <w:font w:name="Arial Black">
    <w:panose1 w:val="020B0A04020102020204"/>
    <w:charset w:val="00"/>
    <w:family w:val="auto"/>
    <w:pitch w:val="default"/>
    <w:sig w:usb0="00000287" w:usb1="00000000" w:usb2="00000000" w:usb3="00000000" w:csb0="2000009F" w:csb1="DFD70000"/>
  </w:font>
  <w:font w:name="MT Extra">
    <w:panose1 w:val="05050102010205020202"/>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叶根友毛笔行书2.0版">
    <w:altName w:val="宋体"/>
    <w:panose1 w:val="02010601030101010101"/>
    <w:charset w:val="86"/>
    <w:family w:val="auto"/>
    <w:pitch w:val="default"/>
    <w:sig w:usb0="00000000" w:usb1="0000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Calibri Light">
    <w:panose1 w:val="020F0302020204030204"/>
    <w:charset w:val="00"/>
    <w:family w:val="auto"/>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6C101B9"/>
    <w:rsid w:val="4FAC1776"/>
    <w:rsid w:val="63231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4">
    <w:name w:val="font41"/>
    <w:basedOn w:val="2"/>
    <w:qFormat/>
    <w:uiPriority w:val="0"/>
    <w:rPr>
      <w:rFonts w:ascii="宋体" w:hAnsi="宋体" w:eastAsia="宋体" w:cs="宋体"/>
      <w:color w:val="000000"/>
      <w:sz w:val="25"/>
      <w:szCs w:val="25"/>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2018-02-07T08:40:01Z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