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060" w:type="dxa"/>
        <w:tblInd w:w="-88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501"/>
        <w:gridCol w:w="720"/>
        <w:gridCol w:w="1443"/>
        <w:gridCol w:w="1907"/>
        <w:gridCol w:w="756"/>
        <w:gridCol w:w="945"/>
        <w:gridCol w:w="1449"/>
        <w:gridCol w:w="536"/>
        <w:gridCol w:w="12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0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000000"/>
                <w:kern w:val="0"/>
                <w:sz w:val="18"/>
                <w:szCs w:val="18"/>
              </w:rPr>
              <w:t>项目支出绩效目标申报表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60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（2018年度）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02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眼科技术的集成转化与研发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主管部门及代码</w:t>
            </w:r>
          </w:p>
        </w:tc>
        <w:tc>
          <w:tcPr>
            <w:tcW w:w="4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北京市卫生和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0"/>
                <w:szCs w:val="20"/>
              </w:rPr>
              <w:t>计划生育委员会</w:t>
            </w:r>
          </w:p>
        </w:tc>
        <w:tc>
          <w:tcPr>
            <w:tcW w:w="3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北京市眼科研究所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项目属性</w:t>
            </w:r>
          </w:p>
        </w:tc>
        <w:tc>
          <w:tcPr>
            <w:tcW w:w="4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新增项目</w:t>
            </w:r>
          </w:p>
        </w:tc>
        <w:tc>
          <w:tcPr>
            <w:tcW w:w="3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项目期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4年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3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项目资金 （万元）</w:t>
            </w:r>
          </w:p>
        </w:tc>
        <w:tc>
          <w:tcPr>
            <w:tcW w:w="2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中期资金总额：</w:t>
            </w:r>
          </w:p>
        </w:tc>
        <w:tc>
          <w:tcPr>
            <w:tcW w:w="1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1658.6</w:t>
            </w:r>
          </w:p>
        </w:tc>
        <w:tc>
          <w:tcPr>
            <w:tcW w:w="3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342.578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1658.6</w:t>
            </w:r>
          </w:p>
        </w:tc>
        <w:tc>
          <w:tcPr>
            <w:tcW w:w="3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342.578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总 体 目 标</w:t>
            </w:r>
          </w:p>
        </w:tc>
        <w:tc>
          <w:tcPr>
            <w:tcW w:w="45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中期目标（2016年—2019年）</w:t>
            </w:r>
          </w:p>
        </w:tc>
        <w:tc>
          <w:tcPr>
            <w:tcW w:w="49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年度目标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1、平台建设考核：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1）生物样本库：创建我国常见眼病的基因及临床数据库，形成常见眼病的基因数据库和精准诊断依据。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2）分子诊断平台：病原体分子诊断平台和基因诊断平台，集细胞因子，抗体检测，基因筛查为一体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3）前沿技术转化平台：建立承接相关转载工具、移植技术的生物工程转化中心，进行临床前小动物，大动物试验，构建符合GMP相关标准的临床试验操作实验室。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2、诊疗标准制度考核：制定4大类10种遗传性眼病分子诊断标准及流程；高度近视视网膜病变治疗技术标准，糖网激光治疗原则与标准。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3、新产品与新技术开发考核：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1）新产品：家用视功能检查仪、家用视功能眼压计、眼部靶向介入设备，近转远转化器、活体光纤OCT，视负荷检测仪。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2）新技术：青光眼，糖网、近视、AMD的基因筛查芯片技术，眼遗传病分子诊断基因芯片技术，眼部病原体微创精准取材技术，依据眼部腔隙的靶向介入技术，OCT导航视网膜下移植技术，临床实用级的AAV联合基因治疗技术，新的近视防治技术，糖网眼底图像生物识别技术。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4、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  <w:lang w:eastAsia="zh-CN"/>
              </w:rPr>
              <w:t>临床试验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考核：青光眼C3基因治疗、视网膜色素变性的胚胎RPE细胞治疗申请I期临床试验。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规范指南推广考核：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5、体系／模式推广：在北京地区推广标准化近视防治技术，在青光眼患者家庭推广家用随诊设备使用，在基层医院推广糖网分级及判断视网膜激光治疗时机的标准。推广青光眼、近视眼、糖网等眼病的易感基因芯片筛查技术。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6、诊疗规范推广：申请在北京召开相关疾病研究会议或学习班，参加国内外相关疾病的学术交流，获得研究领域的话语权、发言权。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7、科研成果及文章数目考核：申报省部级以上课题不少于4项；申报省部级以上科技成果1-2项；发表SCI论文30篇，在本相关领域最有影响力的刊物上发表论文10篇以上，IF&gt;3的15篇以上，申请专利20项，申请医疗器械注册许可证产品3-5项。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8、专业人才培养考核：培养眼病研究专家、有科研素养的临床医生和有创新意识的临床科学家，成为我单位科研与发展的主要力量。培养眼科科研方面集研究、转化、推广为一体的一流人才，培训相关专业技术人才出国交流学习：国际知名大学或研究机构（如新加坡国立卫生研究院、约翰霍普金斯大学、澳大利亚墨尔本大学眼科研究中心、美国威斯康星大学医学院等），交流培训或学习（阅片或科研学习），每年赴海外交流1-2人次，培养博士生6-8人/年，硕士生8-10人／年。</w:t>
            </w:r>
          </w:p>
        </w:tc>
        <w:tc>
          <w:tcPr>
            <w:tcW w:w="49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240"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完成糖尿病视网膜病变眼底图像分析系统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两类疾病基因筛查芯片（青光眼，视网膜色素变性）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研发眼部靶向介入设备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形成高度近视视网膜病变治疗两项技术标准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依据眼底照相技术判断视网膜激光治疗时机的标准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开展联合基因治疗大动物实验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5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绩 效 指 标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产 出 指 标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建立眼科生物样本库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完成糖尿病视网膜病变眼底图像分析系统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一套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病原体分子诊断平台和基因诊断平台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青光眼，视网膜色素变性基因筛查芯片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2种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建立承接相关转载工具、移植技术的生物工程转化中心，进行临床前小动物，大动物试验，构建符合GMP相关标准的临床试验操作实验室。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眼部靶向介入设备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一套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遗传性眼病分子诊断标准及流程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10病种</w:t>
            </w: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高度近视治疗技术标准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一套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高度近视视网膜病变治疗技术标准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一套</w:t>
            </w: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糖尿病视网膜病变诊疗技术标准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一套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家用视功能检查仪、家用视功能眼压计、眼部靶向介入设备，近转远转化器、活体光纤OCT，视负荷检测仪。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分子诊断平台检测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100人次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青光眼C3基因治疗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数字化管理样本库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200例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视网膜色素变性的胚胎RPE细胞治疗申请I期临床试验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参加国际眼科相关会议及学术交流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4人次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在北京地区推广标准化近视防治技术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眼科分子诊断前沿研究交流会议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1次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在青光眼患者家庭推广家用随诊设备使用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眼遗传学研究交流培训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1次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在基层医院推广糖网分级及判断视网膜激光治疗时机的标准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一套</w:t>
            </w: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细胞及基因治疗研究交流会议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1次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北京召开相关疾病研究会议或学习班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12次</w:t>
            </w: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专利申请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2项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参加国际眼科相关会议及学术交流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12人次</w:t>
            </w: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国际论文发表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10篇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进行国外中长期人员培养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6人次</w:t>
            </w: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国内论文发表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20篇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SCI论文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30篇</w:t>
            </w: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申报省部级以上课题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4项</w:t>
            </w: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申请医疗器械注册许可证产品</w:t>
            </w:r>
          </w:p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5项</w:t>
            </w: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设备质量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达到国家标准GB/T 16403</w:t>
            </w: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试剂质量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达到国家标准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完成设备购置验收，完善研究平台的建设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≥99%</w:t>
            </w: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推广眼底照相技术判断视网膜激光治疗时机的标准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推广糖网高度近视诊疗标准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18"/>
                <w:szCs w:val="18"/>
              </w:rPr>
            </w:pPr>
            <w:r>
              <w:rPr>
                <w:rFonts w:ascii="Arial" w:hAnsi="Arial" w:eastAsia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大动物实验平台能够进行大动物手术，基因治疗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进度指标</w:t>
            </w: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方案制定和前期准备时间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进度指标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方案制定和前期准备时间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2018年2月前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招标采购时间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招标采购时间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2018年3月前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采购物品到位时间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采购物品到位时间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2018年6月前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验收时间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验收时间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2018年7月前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1658.6万</w:t>
            </w: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2018年度完成试剂采购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170万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设备费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 xml:space="preserve">330万 </w:t>
            </w: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材料费，测试加工费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220万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材料费，测试加工费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890万</w:t>
            </w: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效 果 指 标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基层医院对DR的认识和防治水平的提高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基层医院对DR的认识和防治水平的提高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近视防治技术的推广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近视防治技术的推广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基因诊断平台的推广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基因诊断平台的推广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服务对象 满意度指标</w:t>
            </w: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 xml:space="preserve"> 受益群众满意度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95%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服务对象 满意度指标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 xml:space="preserve"> 受益群众满意度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kern w:val="0"/>
                <w:sz w:val="18"/>
                <w:szCs w:val="18"/>
              </w:rPr>
              <w:t>95%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dmNGQ1NGQ5Y2Q4MzliYmNkYWFiNTM1NTA5MTZiY2IifQ=="/>
  </w:docVars>
  <w:rsids>
    <w:rsidRoot w:val="00D8604F"/>
    <w:rsid w:val="00205313"/>
    <w:rsid w:val="00D8604F"/>
    <w:rsid w:val="62F00B2D"/>
    <w:rsid w:val="7CA8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398</Words>
  <Characters>2271</Characters>
  <Lines>18</Lines>
  <Paragraphs>5</Paragraphs>
  <TotalTime>0</TotalTime>
  <ScaleCrop>false</ScaleCrop>
  <LinksUpToDate>false</LinksUpToDate>
  <CharactersWithSpaces>2664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2018-01-29T08:24:00Z</dcterms:created>
  <dc:creator>LENOVO</dc:creator>
  <cp:lastModifiedBy>css</cp:lastModifiedBy>
  <dcterms:modified xsi:type="dcterms:W3CDTF">2023-11-17T04:53:21Z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9F34681642E048859CB5F26D4B093E65_12</vt:lpwstr>
  </property>
</Properties>
</file>