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57EC">
      <w:pPr>
        <w:spacing w:after="0"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附件1</w:t>
      </w:r>
      <w:bookmarkStart w:id="0" w:name="_GoBack"/>
      <w:bookmarkEnd w:id="0"/>
    </w:p>
    <w:p w14:paraId="5A6B877A">
      <w:pPr>
        <w:spacing w:after="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《北京市儿童青少年“五健”促进行动计划</w:t>
      </w:r>
    </w:p>
    <w:p w14:paraId="38637170">
      <w:pPr>
        <w:spacing w:after="0" w:line="56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实施方案》重点任务</w:t>
      </w:r>
      <w:r>
        <w:rPr>
          <w:rFonts w:hint="eastAsia" w:ascii="方正小标宋简体" w:hAnsi="方正小标宋简体" w:eastAsia="方正小标宋简体" w:cs="方正小标宋简体"/>
          <w:color w:val="000000"/>
          <w:sz w:val="44"/>
          <w:szCs w:val="44"/>
          <w:lang w:eastAsia="zh-CN"/>
        </w:rPr>
        <w:t>责任清单</w:t>
      </w:r>
    </w:p>
    <w:tbl>
      <w:tblPr>
        <w:tblStyle w:val="17"/>
        <w:tblW w:w="13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055"/>
        <w:gridCol w:w="8345"/>
        <w:gridCol w:w="2370"/>
      </w:tblGrid>
      <w:tr w14:paraId="630564C6">
        <w:tblPrEx>
          <w:tblCellMar>
            <w:top w:w="0" w:type="dxa"/>
            <w:left w:w="108" w:type="dxa"/>
            <w:bottom w:w="0" w:type="dxa"/>
            <w:right w:w="108" w:type="dxa"/>
          </w:tblCellMar>
        </w:tblPrEx>
        <w:trPr>
          <w:jc w:val="center"/>
        </w:trPr>
        <w:tc>
          <w:tcPr>
            <w:tcW w:w="1011" w:type="dxa"/>
            <w:noWrap w:val="0"/>
            <w:vAlign w:val="center"/>
          </w:tcPr>
          <w:p w14:paraId="3FB9A17A">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国标黑体" w:hAnsi="国标黑体" w:eastAsia="国标黑体" w:cs="国标黑体"/>
                <w:color w:val="000000"/>
                <w:sz w:val="28"/>
                <w:szCs w:val="24"/>
                <w:vertAlign w:val="baseline"/>
                <w:lang w:eastAsia="zh-CN"/>
              </w:rPr>
              <w:t>序号</w:t>
            </w:r>
          </w:p>
        </w:tc>
        <w:tc>
          <w:tcPr>
            <w:tcW w:w="2055" w:type="dxa"/>
            <w:noWrap w:val="0"/>
            <w:vAlign w:val="center"/>
          </w:tcPr>
          <w:p w14:paraId="202279A8">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国标黑体" w:hAnsi="国标黑体" w:eastAsia="国标黑体" w:cs="国标黑体"/>
                <w:color w:val="000000"/>
                <w:sz w:val="28"/>
                <w:szCs w:val="24"/>
                <w:vertAlign w:val="baseline"/>
                <w:lang w:eastAsia="zh-CN"/>
              </w:rPr>
              <w:t>重点任务</w:t>
            </w:r>
          </w:p>
        </w:tc>
        <w:tc>
          <w:tcPr>
            <w:tcW w:w="8345" w:type="dxa"/>
            <w:noWrap w:val="0"/>
            <w:vAlign w:val="center"/>
          </w:tcPr>
          <w:p w14:paraId="61FC002D">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国标黑体" w:hAnsi="国标黑体" w:eastAsia="国标黑体" w:cs="国标黑体"/>
                <w:color w:val="000000"/>
                <w:sz w:val="28"/>
                <w:szCs w:val="24"/>
                <w:vertAlign w:val="baseline"/>
                <w:lang w:eastAsia="zh-CN"/>
              </w:rPr>
              <w:t>具体内容</w:t>
            </w:r>
          </w:p>
        </w:tc>
        <w:tc>
          <w:tcPr>
            <w:tcW w:w="2370" w:type="dxa"/>
            <w:noWrap w:val="0"/>
            <w:vAlign w:val="center"/>
          </w:tcPr>
          <w:p w14:paraId="38A720D0">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国标黑体" w:hAnsi="国标黑体" w:eastAsia="国标黑体" w:cs="国标黑体"/>
                <w:color w:val="000000"/>
                <w:sz w:val="28"/>
                <w:szCs w:val="24"/>
                <w:vertAlign w:val="baseline"/>
                <w:lang w:eastAsia="zh-CN"/>
              </w:rPr>
              <w:t>责任部门</w:t>
            </w:r>
          </w:p>
        </w:tc>
      </w:tr>
      <w:tr w14:paraId="7153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1011" w:type="dxa"/>
            <w:noWrap w:val="0"/>
            <w:vAlign w:val="center"/>
          </w:tcPr>
          <w:p w14:paraId="65E59F57">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w:t>
            </w:r>
          </w:p>
        </w:tc>
        <w:tc>
          <w:tcPr>
            <w:tcW w:w="2055" w:type="dxa"/>
            <w:noWrap w:val="0"/>
            <w:vAlign w:val="center"/>
          </w:tcPr>
          <w:p w14:paraId="6C4390AB">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仿宋_GB2312" w:hAnsi="仿宋_GB2312" w:eastAsia="仿宋_GB2312" w:cs="仿宋_GB2312"/>
                <w:color w:val="000000"/>
                <w:sz w:val="24"/>
                <w:szCs w:val="24"/>
              </w:rPr>
              <w:t>健康护航，完善工作机制</w:t>
            </w:r>
          </w:p>
        </w:tc>
        <w:tc>
          <w:tcPr>
            <w:tcW w:w="8345" w:type="dxa"/>
            <w:noWrap w:val="0"/>
            <w:vAlign w:val="center"/>
          </w:tcPr>
          <w:p w14:paraId="59AB4128">
            <w:pPr>
              <w:spacing w:after="0" w:line="240" w:lineRule="auto"/>
              <w:jc w:val="left"/>
              <w:rPr>
                <w:rFonts w:hint="eastAsia" w:ascii="国标黑体" w:hAnsi="国标黑体" w:eastAsia="国标黑体" w:cs="国标黑体"/>
                <w:color w:val="000000"/>
                <w:sz w:val="28"/>
                <w:szCs w:val="24"/>
                <w:vertAlign w:val="baseline"/>
                <w:lang w:eastAsia="zh-CN"/>
              </w:rPr>
            </w:pPr>
            <w:r>
              <w:rPr>
                <w:rFonts w:hint="eastAsia" w:ascii="仿宋_GB2312" w:hAnsi="仿宋_GB2312" w:eastAsia="仿宋_GB2312" w:cs="仿宋_GB2312"/>
                <w:color w:val="000000"/>
                <w:sz w:val="24"/>
                <w:szCs w:val="24"/>
                <w:vertAlign w:val="baseline"/>
                <w:lang w:eastAsia="zh-CN"/>
              </w:rPr>
              <w:t>构建协同高效工作机制。健全高位推动机制，全市统筹，卫生健康部门牵头，疾控、网信、发展改革、教育、财政、广电、体育、中医药、妇儿工委、团委、妇联、残联等部门参与，负责儿童青少年健康促进工作统筹规划、协调推进和督促落实。健全部门协同机制，建立儿童青少年健康促进工作联席会议制度，联席会议办公室设在市卫生健康委，主要承担联席会议组织联络和协调等日常工作。明确责任分工，定期联席会商，促进医校协同、卫体融合、家校共育、社会共治的工作机制更加完善。建立清单管理机制，形成重点任务责任清单、问题清单、措施清单及成效清单，各单位结合工作整体目标，细化分解年度具体工作任务及预期目标，形成年度任务分解表，并开展定期监测，推进重点任务有效落实。</w:t>
            </w:r>
          </w:p>
        </w:tc>
        <w:tc>
          <w:tcPr>
            <w:tcW w:w="2370" w:type="dxa"/>
            <w:noWrap w:val="0"/>
            <w:vAlign w:val="center"/>
          </w:tcPr>
          <w:p w14:paraId="41A370FA">
            <w:pPr>
              <w:spacing w:after="0" w:line="240" w:lineRule="auto"/>
              <w:jc w:val="center"/>
              <w:rPr>
                <w:rFonts w:hint="eastAsia" w:ascii="国标黑体" w:hAnsi="国标黑体" w:eastAsia="国标黑体" w:cs="国标黑体"/>
                <w:color w:val="000000"/>
                <w:sz w:val="28"/>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市卫生健康委、市疾控局、市委网信办、市发展改革委、市教委、市财政局、市广电局、市体育局、市中医药局、市妇儿工委办公室、团市委、市妇联、市残联</w:t>
            </w:r>
          </w:p>
        </w:tc>
      </w:tr>
      <w:tr w14:paraId="5EB5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011" w:type="dxa"/>
            <w:noWrap w:val="0"/>
            <w:vAlign w:val="center"/>
          </w:tcPr>
          <w:p w14:paraId="2DA82164">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w:t>
            </w:r>
          </w:p>
        </w:tc>
        <w:tc>
          <w:tcPr>
            <w:tcW w:w="2055" w:type="dxa"/>
            <w:vMerge w:val="restart"/>
            <w:noWrap w:val="0"/>
            <w:vAlign w:val="center"/>
          </w:tcPr>
          <w:p w14:paraId="08115519">
            <w:pPr>
              <w:spacing w:after="0" w:line="44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rPr>
              <w:t>部门协同，健全服务网络</w:t>
            </w:r>
          </w:p>
        </w:tc>
        <w:tc>
          <w:tcPr>
            <w:tcW w:w="8345" w:type="dxa"/>
            <w:noWrap w:val="0"/>
            <w:vAlign w:val="center"/>
          </w:tcPr>
          <w:p w14:paraId="38B4EF77">
            <w:pPr>
              <w:spacing w:after="0" w:line="240" w:lineRule="auto"/>
              <w:jc w:val="left"/>
              <w:rPr>
                <w:rFonts w:hint="eastAsia" w:ascii="仿宋_GB2312" w:hAnsi="仿宋_GB2312" w:eastAsia="仿宋_GB2312" w:cs="仿宋_GB2312"/>
                <w:color w:val="000000"/>
                <w:sz w:val="24"/>
                <w:szCs w:val="24"/>
                <w:highlight w:val="none"/>
                <w:vertAlign w:val="baseline"/>
              </w:rPr>
            </w:pPr>
            <w:r>
              <w:rPr>
                <w:rFonts w:hint="eastAsia" w:ascii="仿宋_GB2312" w:hAnsi="仿宋_GB2312" w:eastAsia="仿宋_GB2312" w:cs="仿宋_GB2312"/>
                <w:color w:val="000000"/>
                <w:sz w:val="24"/>
                <w:szCs w:val="24"/>
                <w:highlight w:val="none"/>
                <w:vertAlign w:val="baseline"/>
                <w:lang w:eastAsia="zh-CN"/>
              </w:rPr>
              <w:t>推进妇幼保健机构、三级公立综合医院和三级公立儿童专科医院全面提供健康体重管理门诊服务。在现有儿童视力、心理保健服务转诊网络基础上，健全口腔、营养性疾病服务网络,基层医疗卫生机构将口腔、营养性疾病患儿转诊至辖区妇幼保健院干预指导，超出诊疗能力进一步转诊至辖区开设儿童口腔、体重管理门诊的医疗机构。按照分区对口原则，畅通转诊通道，便捷儿童就诊，促进营养性疾病、视力不良、心理行为发育异常、龋齿儿童早识别、早诊断、早干预。</w:t>
            </w:r>
          </w:p>
        </w:tc>
        <w:tc>
          <w:tcPr>
            <w:tcW w:w="2370" w:type="dxa"/>
            <w:noWrap w:val="0"/>
            <w:vAlign w:val="center"/>
          </w:tcPr>
          <w:p w14:paraId="1AFFAD0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2A2F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1" w:type="dxa"/>
            <w:noWrap w:val="0"/>
            <w:vAlign w:val="center"/>
          </w:tcPr>
          <w:p w14:paraId="103372A4">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w:t>
            </w:r>
          </w:p>
        </w:tc>
        <w:tc>
          <w:tcPr>
            <w:tcW w:w="2055" w:type="dxa"/>
            <w:vMerge w:val="continue"/>
            <w:noWrap w:val="0"/>
            <w:vAlign w:val="center"/>
          </w:tcPr>
          <w:p w14:paraId="3B9B550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532E37C">
            <w:pPr>
              <w:spacing w:after="0" w:line="440" w:lineRule="exact"/>
              <w:jc w:val="left"/>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sz w:val="24"/>
                <w:szCs w:val="24"/>
              </w:rPr>
              <w:t>构建多元化</w:t>
            </w:r>
            <w:r>
              <w:rPr>
                <w:rFonts w:hint="eastAsia" w:ascii="仿宋_GB2312" w:hAnsi="仿宋_GB2312" w:eastAsia="仿宋_GB2312" w:cs="仿宋_GB2312"/>
                <w:sz w:val="24"/>
                <w:szCs w:val="24"/>
                <w:lang w:eastAsia="zh-CN"/>
              </w:rPr>
              <w:t>残疾儿童康复</w:t>
            </w:r>
            <w:r>
              <w:rPr>
                <w:rFonts w:hint="eastAsia" w:ascii="仿宋_GB2312" w:hAnsi="仿宋_GB2312" w:eastAsia="仿宋_GB2312" w:cs="仿宋_GB2312"/>
                <w:sz w:val="24"/>
                <w:szCs w:val="24"/>
              </w:rPr>
              <w:t>供给体系，增加服务供给，提升服务质量。</w:t>
            </w:r>
          </w:p>
        </w:tc>
        <w:tc>
          <w:tcPr>
            <w:tcW w:w="2370" w:type="dxa"/>
            <w:noWrap w:val="0"/>
            <w:vAlign w:val="center"/>
          </w:tcPr>
          <w:p w14:paraId="7E0BDB87">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市残联</w:t>
            </w:r>
          </w:p>
        </w:tc>
      </w:tr>
      <w:tr w14:paraId="31B4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C8C04B9">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w:t>
            </w:r>
          </w:p>
        </w:tc>
        <w:tc>
          <w:tcPr>
            <w:tcW w:w="2055" w:type="dxa"/>
            <w:vMerge w:val="continue"/>
            <w:noWrap w:val="0"/>
            <w:vAlign w:val="center"/>
          </w:tcPr>
          <w:p w14:paraId="6F91407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EC279DE">
            <w:pPr>
              <w:spacing w:after="0" w:line="240" w:lineRule="auto"/>
              <w:jc w:val="left"/>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eastAsia="zh-CN"/>
              </w:rPr>
              <w:t>健全体重、视力、心理、骨骼、口腔疾病服务网络。落实学生健康体检制度，健全学生身心健康分级就诊咨询机制，按照分区对口原则，畅通转诊通道。中小学生健康体检机构动态监测身高、体重、腰围变化，进行视力检测、屈光筛查、脊柱弯曲异常检查和口腔检查，并将发现异常的学生转诊至辖区具备营养科、眼科、骨科、口腔科诊疗能力的医疗机构进一步诊治。将有心理评估需要的学生转诊至辖区妇幼保健院评估，确需转介干预的进一步转诊至诊断评估机构治疗。</w:t>
            </w:r>
          </w:p>
        </w:tc>
        <w:tc>
          <w:tcPr>
            <w:tcW w:w="2370" w:type="dxa"/>
            <w:noWrap w:val="0"/>
            <w:vAlign w:val="center"/>
          </w:tcPr>
          <w:p w14:paraId="74DEBC7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4F67F655">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7726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68B2D20">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w:t>
            </w:r>
          </w:p>
        </w:tc>
        <w:tc>
          <w:tcPr>
            <w:tcW w:w="2055" w:type="dxa"/>
            <w:vMerge w:val="continue"/>
            <w:noWrap w:val="0"/>
            <w:vAlign w:val="center"/>
          </w:tcPr>
          <w:p w14:paraId="54DD93E0">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3A5D980">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充分发挥中医药干预儿童青少年视力不良和脊柱弯曲异常等特色和优势，制定技术服务包，推广一批中医药适宜技术。</w:t>
            </w:r>
          </w:p>
        </w:tc>
        <w:tc>
          <w:tcPr>
            <w:tcW w:w="2370" w:type="dxa"/>
            <w:noWrap w:val="0"/>
            <w:vAlign w:val="center"/>
          </w:tcPr>
          <w:p w14:paraId="19E2899E">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市中医药局</w:t>
            </w:r>
          </w:p>
        </w:tc>
      </w:tr>
      <w:tr w14:paraId="253F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8B49A1A">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w:t>
            </w:r>
          </w:p>
        </w:tc>
        <w:tc>
          <w:tcPr>
            <w:tcW w:w="2055" w:type="dxa"/>
            <w:vMerge w:val="continue"/>
            <w:noWrap w:val="0"/>
            <w:vAlign w:val="center"/>
          </w:tcPr>
          <w:p w14:paraId="06E84279">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4BCBB42">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实施儿童青少年健康服务重点医疗卫生机构能力提升工程，打造市区体重管理中心、心理健康促进管理中心、近视防控管理中心、骨骼与运动健康管理中心、口腔健康促进管理中心，负责儿童青少年专项健康促进工作具体实施，推进规范制定、质量控制、业务指导、人才培养等工作。</w:t>
            </w:r>
          </w:p>
        </w:tc>
        <w:tc>
          <w:tcPr>
            <w:tcW w:w="2370" w:type="dxa"/>
            <w:noWrap w:val="0"/>
            <w:vAlign w:val="center"/>
          </w:tcPr>
          <w:p w14:paraId="3406DD8D">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3D770B01">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2E7B12CB">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市发展改革委</w:t>
            </w:r>
          </w:p>
        </w:tc>
      </w:tr>
      <w:tr w14:paraId="0969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94CFB2C">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7</w:t>
            </w:r>
          </w:p>
        </w:tc>
        <w:tc>
          <w:tcPr>
            <w:tcW w:w="2055" w:type="dxa"/>
            <w:vMerge w:val="continue"/>
            <w:noWrap w:val="0"/>
            <w:vAlign w:val="center"/>
          </w:tcPr>
          <w:p w14:paraId="50D530FD">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0644846">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充分发挥北京市拥有精神疾病国家医学中心和儿科医学中心的学科高地优势，提升相关方面疑难重症患者诊治能力，带动更多医疗机构持续提升服务能力。</w:t>
            </w:r>
          </w:p>
        </w:tc>
        <w:tc>
          <w:tcPr>
            <w:tcW w:w="2370" w:type="dxa"/>
            <w:noWrap w:val="0"/>
            <w:vAlign w:val="center"/>
          </w:tcPr>
          <w:p w14:paraId="5D76EE3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5C0C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D863BDF">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8</w:t>
            </w:r>
          </w:p>
        </w:tc>
        <w:tc>
          <w:tcPr>
            <w:tcW w:w="2055" w:type="dxa"/>
            <w:vMerge w:val="continue"/>
            <w:noWrap w:val="0"/>
            <w:vAlign w:val="center"/>
          </w:tcPr>
          <w:p w14:paraId="5E0AEF25">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6E35BDC">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实施“五健”促进儿童健康专科建设工程，支持医疗机构建设一批儿童营养、生长发育、心理卫生、眼科、口腔、小儿骨科、康复医学等优势专科。充分利用紧密型城市医疗集团建设经验，促进医疗机构间协同。加强儿童友好医院建设。</w:t>
            </w:r>
          </w:p>
        </w:tc>
        <w:tc>
          <w:tcPr>
            <w:tcW w:w="2370" w:type="dxa"/>
            <w:noWrap w:val="0"/>
            <w:vAlign w:val="center"/>
          </w:tcPr>
          <w:p w14:paraId="080270C7">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30EFCABC">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市发展改革委</w:t>
            </w:r>
          </w:p>
        </w:tc>
      </w:tr>
      <w:tr w14:paraId="4A0C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11" w:type="dxa"/>
            <w:noWrap w:val="0"/>
            <w:vAlign w:val="center"/>
          </w:tcPr>
          <w:p w14:paraId="3629038F">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9</w:t>
            </w:r>
          </w:p>
        </w:tc>
        <w:tc>
          <w:tcPr>
            <w:tcW w:w="2055" w:type="dxa"/>
            <w:vMerge w:val="continue"/>
            <w:noWrap w:val="0"/>
            <w:vAlign w:val="center"/>
          </w:tcPr>
          <w:p w14:paraId="2C1BC96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1206827">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实施妇幼保健机构能力提升工程，支持各区妇幼保健院儿童健康专家工作室以及青少年保健、儿童营养、儿童生长发育和儿童康复等妇幼保健专科联合平台建设，提升儿童健康服务能力。</w:t>
            </w:r>
          </w:p>
        </w:tc>
        <w:tc>
          <w:tcPr>
            <w:tcW w:w="2370" w:type="dxa"/>
            <w:noWrap w:val="0"/>
            <w:vAlign w:val="center"/>
          </w:tcPr>
          <w:p w14:paraId="622CF5B8">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16EC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28F2C170">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10</w:t>
            </w:r>
          </w:p>
        </w:tc>
        <w:tc>
          <w:tcPr>
            <w:tcW w:w="2055" w:type="dxa"/>
            <w:vMerge w:val="restart"/>
            <w:noWrap w:val="0"/>
            <w:vAlign w:val="center"/>
          </w:tcPr>
          <w:p w14:paraId="003F6EBA">
            <w:pPr>
              <w:spacing w:after="0" w:line="440" w:lineRule="exact"/>
              <w:jc w:val="center"/>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vertAlign w:val="baseline"/>
                <w:lang w:eastAsia="zh-CN"/>
              </w:rPr>
              <w:t>注重统筹，发挥专业支持</w:t>
            </w:r>
          </w:p>
        </w:tc>
        <w:tc>
          <w:tcPr>
            <w:tcW w:w="8345" w:type="dxa"/>
            <w:noWrap w:val="0"/>
            <w:vAlign w:val="center"/>
          </w:tcPr>
          <w:p w14:paraId="5C7A7973">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推进全市中小学校、托幼机构选聘卫生健康副校长，实现全覆盖。</w:t>
            </w:r>
          </w:p>
        </w:tc>
        <w:tc>
          <w:tcPr>
            <w:tcW w:w="2370" w:type="dxa"/>
            <w:noWrap w:val="0"/>
            <w:vAlign w:val="center"/>
          </w:tcPr>
          <w:p w14:paraId="1F0F1DD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6F1F224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6E14BCF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17C6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11" w:type="dxa"/>
            <w:noWrap w:val="0"/>
            <w:vAlign w:val="center"/>
          </w:tcPr>
          <w:p w14:paraId="64391354">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11</w:t>
            </w:r>
          </w:p>
        </w:tc>
        <w:tc>
          <w:tcPr>
            <w:tcW w:w="2055" w:type="dxa"/>
            <w:vMerge w:val="continue"/>
            <w:noWrap w:val="0"/>
            <w:vAlign w:val="center"/>
          </w:tcPr>
          <w:p w14:paraId="0FF1B99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37928A0">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市区疾病预防控制机构及妇幼保健机构分别加强对辖区中小学校和托幼机构健康副校长组织联系，促进健康指导同质化及均衡化。</w:t>
            </w:r>
          </w:p>
        </w:tc>
        <w:tc>
          <w:tcPr>
            <w:tcW w:w="2370" w:type="dxa"/>
            <w:noWrap w:val="0"/>
            <w:vAlign w:val="center"/>
          </w:tcPr>
          <w:p w14:paraId="77F3803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7F7B348B">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03308A8D">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161D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28ED141">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12</w:t>
            </w:r>
          </w:p>
        </w:tc>
        <w:tc>
          <w:tcPr>
            <w:tcW w:w="2055" w:type="dxa"/>
            <w:vMerge w:val="continue"/>
            <w:noWrap w:val="0"/>
            <w:vAlign w:val="center"/>
          </w:tcPr>
          <w:p w14:paraId="72EFB3C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8BA39CF">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建立区域—学校（托幼机构）—儿童青少年分级健康画像，对近视、肥胖、龋齿、心理异常、脊柱侧弯等健康问题提出针对性措施，促进体质健康有效改善。</w:t>
            </w:r>
          </w:p>
        </w:tc>
        <w:tc>
          <w:tcPr>
            <w:tcW w:w="2370" w:type="dxa"/>
            <w:noWrap w:val="0"/>
            <w:vAlign w:val="center"/>
          </w:tcPr>
          <w:p w14:paraId="1EE0C8A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0474137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45AC6429">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tc>
      </w:tr>
      <w:tr w14:paraId="60C2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2FAF3E8F">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13</w:t>
            </w:r>
          </w:p>
        </w:tc>
        <w:tc>
          <w:tcPr>
            <w:tcW w:w="2055" w:type="dxa"/>
            <w:vMerge w:val="continue"/>
            <w:noWrap w:val="0"/>
            <w:vAlign w:val="center"/>
          </w:tcPr>
          <w:p w14:paraId="6DD3F36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E507BEA">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试点推行体育副校长聘用制度，指导学校体育教学改革、学校运动队建设、体育文化营造，强化儿童青少年科学健身普及与运动干预。</w:t>
            </w:r>
          </w:p>
        </w:tc>
        <w:tc>
          <w:tcPr>
            <w:tcW w:w="2370" w:type="dxa"/>
            <w:noWrap w:val="0"/>
            <w:vAlign w:val="center"/>
          </w:tcPr>
          <w:p w14:paraId="681D13F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058F83E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市体育局</w:t>
            </w:r>
          </w:p>
        </w:tc>
      </w:tr>
      <w:tr w14:paraId="2608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CBD79D9">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14</w:t>
            </w:r>
          </w:p>
        </w:tc>
        <w:tc>
          <w:tcPr>
            <w:tcW w:w="2055" w:type="dxa"/>
            <w:vMerge w:val="continue"/>
            <w:noWrap w:val="0"/>
            <w:vAlign w:val="center"/>
          </w:tcPr>
          <w:p w14:paraId="2F5A3E8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20F8746">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组建涵盖卫生健康、教育、体育、管理等多领域优质专家团队，制订一组科学严谨的专业技术规范，明确一套系统全面的质量控制标准，开发一系列兼顾科学性、实用性和趣味性的科普和干预工具。</w:t>
            </w:r>
          </w:p>
        </w:tc>
        <w:tc>
          <w:tcPr>
            <w:tcW w:w="2370" w:type="dxa"/>
            <w:noWrap w:val="0"/>
            <w:vAlign w:val="center"/>
          </w:tcPr>
          <w:p w14:paraId="25689575">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45559633">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2982353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348271A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市体育局</w:t>
            </w:r>
          </w:p>
          <w:p w14:paraId="1D79164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市中医药局</w:t>
            </w:r>
          </w:p>
        </w:tc>
      </w:tr>
      <w:tr w14:paraId="2702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54FDFCD">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15</w:t>
            </w:r>
          </w:p>
        </w:tc>
        <w:tc>
          <w:tcPr>
            <w:tcW w:w="2055" w:type="dxa"/>
            <w:vMerge w:val="continue"/>
            <w:noWrap w:val="0"/>
            <w:vAlign w:val="center"/>
          </w:tcPr>
          <w:p w14:paraId="575D45FD">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541C545">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实施儿童青少年五健促进能力提升项目，建立专业师资库、标化课件库、专业人才库，依托北京市“五健”管理中心单位、儿童早期发展研究中心、儿童心理保健培训基地、中小学专职心理健康教师研修实践基地等，开展分级分类专项培训，提升专业知识与技能水平，培养一支发展型高素质的专业骨干队伍。</w:t>
            </w:r>
          </w:p>
        </w:tc>
        <w:tc>
          <w:tcPr>
            <w:tcW w:w="2370" w:type="dxa"/>
            <w:noWrap w:val="0"/>
            <w:vAlign w:val="center"/>
          </w:tcPr>
          <w:p w14:paraId="62180DD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3AF25D9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1568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6909A43E">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16</w:t>
            </w:r>
          </w:p>
        </w:tc>
        <w:tc>
          <w:tcPr>
            <w:tcW w:w="2055" w:type="dxa"/>
            <w:vMerge w:val="continue"/>
            <w:noWrap w:val="0"/>
            <w:vAlign w:val="center"/>
          </w:tcPr>
          <w:p w14:paraId="5ACBD9A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8E68D67">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北京妇幼保健院、北京市精神卫生保健所及北京市临床营养、眼科、精神卫生与心理健康、骨科、口腔医疗、康复医疗、体检等医疗专业质量控制和改进中心组织完善质量控制标准和管理要求，开展定期质量管理与技术指导，促进医疗质量同质化和持续改进。</w:t>
            </w:r>
          </w:p>
        </w:tc>
        <w:tc>
          <w:tcPr>
            <w:tcW w:w="2370" w:type="dxa"/>
            <w:noWrap w:val="0"/>
            <w:vAlign w:val="center"/>
          </w:tcPr>
          <w:p w14:paraId="58A2C88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191D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A36519B">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17</w:t>
            </w:r>
          </w:p>
        </w:tc>
        <w:tc>
          <w:tcPr>
            <w:tcW w:w="2055" w:type="dxa"/>
            <w:vMerge w:val="restart"/>
            <w:noWrap w:val="0"/>
            <w:vAlign w:val="center"/>
          </w:tcPr>
          <w:p w14:paraId="1DFAD475">
            <w:pPr>
              <w:spacing w:after="0" w:line="440" w:lineRule="exact"/>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全程促优、推行五项行动</w:t>
            </w:r>
          </w:p>
        </w:tc>
        <w:tc>
          <w:tcPr>
            <w:tcW w:w="8345" w:type="dxa"/>
            <w:noWrap w:val="0"/>
            <w:vAlign w:val="center"/>
          </w:tcPr>
          <w:p w14:paraId="1D9A1733">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医疗机构加强生育门诊建设，开展育龄妇女合理膳食与科学运动指导，促进孕前维持适宜体重。</w:t>
            </w:r>
          </w:p>
        </w:tc>
        <w:tc>
          <w:tcPr>
            <w:tcW w:w="2370" w:type="dxa"/>
            <w:noWrap w:val="0"/>
            <w:vAlign w:val="center"/>
          </w:tcPr>
          <w:p w14:paraId="6C592CEE">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3551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78D8C939">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18</w:t>
            </w:r>
          </w:p>
        </w:tc>
        <w:tc>
          <w:tcPr>
            <w:tcW w:w="2055" w:type="dxa"/>
            <w:vMerge w:val="continue"/>
            <w:noWrap w:val="0"/>
            <w:vAlign w:val="center"/>
          </w:tcPr>
          <w:p w14:paraId="0E64E02E">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D4C0311">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深化早孕多科协作，为早孕女性提供营养保健咨询和生活方式指导。</w:t>
            </w:r>
          </w:p>
        </w:tc>
        <w:tc>
          <w:tcPr>
            <w:tcW w:w="2370" w:type="dxa"/>
            <w:noWrap w:val="0"/>
            <w:vAlign w:val="center"/>
          </w:tcPr>
          <w:p w14:paraId="479902D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050C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7B80F20">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19</w:t>
            </w:r>
          </w:p>
        </w:tc>
        <w:tc>
          <w:tcPr>
            <w:tcW w:w="2055" w:type="dxa"/>
            <w:vMerge w:val="continue"/>
            <w:noWrap w:val="0"/>
            <w:vAlign w:val="center"/>
          </w:tcPr>
          <w:p w14:paraId="03DE95F5">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D34F54B">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加强孕期营养门诊建设，充实孕妇学校体重管理相关课程，系统开展孕产妇体重管理、营养评价和身体活动指导，促进孕期合理增重。</w:t>
            </w:r>
          </w:p>
        </w:tc>
        <w:tc>
          <w:tcPr>
            <w:tcW w:w="2370" w:type="dxa"/>
            <w:noWrap w:val="0"/>
            <w:vAlign w:val="center"/>
          </w:tcPr>
          <w:p w14:paraId="0C27151B">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19DA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66430387">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20</w:t>
            </w:r>
          </w:p>
        </w:tc>
        <w:tc>
          <w:tcPr>
            <w:tcW w:w="2055" w:type="dxa"/>
            <w:vMerge w:val="continue"/>
            <w:noWrap w:val="0"/>
            <w:vAlign w:val="center"/>
          </w:tcPr>
          <w:p w14:paraId="6577792E">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0D4B5CD">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将体重管理纳入系统保健服务，做好孕前和孕期营养保健咨询、指导和干预服务，预防低体重儿、巨大儿发生，减少代际传递。</w:t>
            </w:r>
          </w:p>
        </w:tc>
        <w:tc>
          <w:tcPr>
            <w:tcW w:w="2370" w:type="dxa"/>
            <w:noWrap w:val="0"/>
            <w:vAlign w:val="center"/>
          </w:tcPr>
          <w:p w14:paraId="39C049B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1603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17D5618">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21</w:t>
            </w:r>
          </w:p>
        </w:tc>
        <w:tc>
          <w:tcPr>
            <w:tcW w:w="2055" w:type="dxa"/>
            <w:vMerge w:val="continue"/>
            <w:noWrap w:val="0"/>
            <w:vAlign w:val="center"/>
          </w:tcPr>
          <w:p w14:paraId="4FD4CB6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14AA576">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医疗机构积极推进儿童营养门诊和儿童运动门诊建设，倡导吃动平衡。</w:t>
            </w:r>
          </w:p>
        </w:tc>
        <w:tc>
          <w:tcPr>
            <w:tcW w:w="2370" w:type="dxa"/>
            <w:noWrap w:val="0"/>
            <w:vAlign w:val="center"/>
          </w:tcPr>
          <w:p w14:paraId="010635F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29B1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5121D1F">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22</w:t>
            </w:r>
          </w:p>
        </w:tc>
        <w:tc>
          <w:tcPr>
            <w:tcW w:w="2055" w:type="dxa"/>
            <w:vMerge w:val="continue"/>
            <w:noWrap w:val="0"/>
            <w:vAlign w:val="center"/>
          </w:tcPr>
          <w:p w14:paraId="28A40EF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B542DB6">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鼓励开设中西医结合肥胖联合门诊。</w:t>
            </w:r>
          </w:p>
        </w:tc>
        <w:tc>
          <w:tcPr>
            <w:tcW w:w="2370" w:type="dxa"/>
            <w:noWrap w:val="0"/>
            <w:vAlign w:val="center"/>
          </w:tcPr>
          <w:p w14:paraId="36914073">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市中医药局</w:t>
            </w:r>
          </w:p>
        </w:tc>
      </w:tr>
      <w:tr w14:paraId="0676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BEF7FEE">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23</w:t>
            </w:r>
          </w:p>
        </w:tc>
        <w:tc>
          <w:tcPr>
            <w:tcW w:w="2055" w:type="dxa"/>
            <w:vMerge w:val="continue"/>
            <w:noWrap w:val="0"/>
            <w:vAlign w:val="center"/>
          </w:tcPr>
          <w:p w14:paraId="7E76846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6F54A0A">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提高基层医疗卫生机构婴幼儿营养喂养评估与咨询指导服务规范化水平，促进母乳喂养、科学添加辅食和合理膳食行为。</w:t>
            </w:r>
          </w:p>
        </w:tc>
        <w:tc>
          <w:tcPr>
            <w:tcW w:w="2370" w:type="dxa"/>
            <w:noWrap w:val="0"/>
            <w:vAlign w:val="center"/>
          </w:tcPr>
          <w:p w14:paraId="14FABB82">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6AB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E960FF4">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24</w:t>
            </w:r>
          </w:p>
        </w:tc>
        <w:tc>
          <w:tcPr>
            <w:tcW w:w="2055" w:type="dxa"/>
            <w:vMerge w:val="continue"/>
            <w:noWrap w:val="0"/>
            <w:vAlign w:val="center"/>
          </w:tcPr>
          <w:p w14:paraId="1FC6B1B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CE082DC">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推进“营”在校园平衡膳食健康促进行动，优化学生餐膳食结构，培养健康饮食行为。</w:t>
            </w:r>
          </w:p>
        </w:tc>
        <w:tc>
          <w:tcPr>
            <w:tcW w:w="2370" w:type="dxa"/>
            <w:noWrap w:val="0"/>
            <w:vAlign w:val="center"/>
          </w:tcPr>
          <w:p w14:paraId="12CEFEB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212F0F71">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3F8A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264A1F0">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25</w:t>
            </w:r>
          </w:p>
        </w:tc>
        <w:tc>
          <w:tcPr>
            <w:tcW w:w="2055" w:type="dxa"/>
            <w:vMerge w:val="continue"/>
            <w:noWrap w:val="0"/>
            <w:vAlign w:val="center"/>
          </w:tcPr>
          <w:p w14:paraId="00C64748">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BF6A35C">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在托幼机构、中小学校推进健康食堂、健康餐厅建设。</w:t>
            </w:r>
          </w:p>
        </w:tc>
        <w:tc>
          <w:tcPr>
            <w:tcW w:w="2370" w:type="dxa"/>
            <w:noWrap w:val="0"/>
            <w:vAlign w:val="center"/>
          </w:tcPr>
          <w:p w14:paraId="37B29D35">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4580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7DA6E336">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26</w:t>
            </w:r>
          </w:p>
        </w:tc>
        <w:tc>
          <w:tcPr>
            <w:tcW w:w="2055" w:type="dxa"/>
            <w:vMerge w:val="continue"/>
            <w:noWrap w:val="0"/>
            <w:vAlign w:val="center"/>
          </w:tcPr>
          <w:p w14:paraId="2AEC8126">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7280A8D">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落实中小学“体育八条”，丰富阳光体育活动，确保中小学生每天综合体育活动时间不低于2小时，其中至少要有1小时中等及以上强度体育锻炼。</w:t>
            </w:r>
          </w:p>
        </w:tc>
        <w:tc>
          <w:tcPr>
            <w:tcW w:w="2370" w:type="dxa"/>
            <w:noWrap w:val="0"/>
            <w:vAlign w:val="center"/>
          </w:tcPr>
          <w:p w14:paraId="66B15A5E">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3ED8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30CE2A6">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27</w:t>
            </w:r>
          </w:p>
        </w:tc>
        <w:tc>
          <w:tcPr>
            <w:tcW w:w="2055" w:type="dxa"/>
            <w:vMerge w:val="continue"/>
            <w:noWrap w:val="0"/>
            <w:vAlign w:val="center"/>
          </w:tcPr>
          <w:p w14:paraId="1266014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A8020F4">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val="en-US" w:eastAsia="zh-CN"/>
              </w:rPr>
              <w:t>深化“能出汗的体育课”教学改革，</w:t>
            </w:r>
            <w:r>
              <w:rPr>
                <w:rFonts w:hint="eastAsia" w:ascii="仿宋_GB2312" w:hAnsi="仿宋_GB2312" w:eastAsia="仿宋_GB2312" w:cs="仿宋_GB2312"/>
                <w:color w:val="000000"/>
                <w:sz w:val="24"/>
                <w:szCs w:val="24"/>
                <w:vertAlign w:val="baseline"/>
                <w:lang w:eastAsia="zh-CN"/>
              </w:rPr>
              <w:t>义务教育阶段每名学生掌握至少2项运动技能。</w:t>
            </w:r>
          </w:p>
        </w:tc>
        <w:tc>
          <w:tcPr>
            <w:tcW w:w="2370" w:type="dxa"/>
            <w:noWrap w:val="0"/>
            <w:vAlign w:val="center"/>
          </w:tcPr>
          <w:p w14:paraId="74184EB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7586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1437C72">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28</w:t>
            </w:r>
          </w:p>
        </w:tc>
        <w:tc>
          <w:tcPr>
            <w:tcW w:w="2055" w:type="dxa"/>
            <w:vMerge w:val="continue"/>
            <w:noWrap w:val="0"/>
            <w:vAlign w:val="center"/>
          </w:tcPr>
          <w:p w14:paraId="668060BB">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BC8BC93">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val="en-US" w:eastAsia="zh-CN"/>
              </w:rPr>
              <w:t>扩大“学练赛”一体化体育教学改革试点范围，大力推广“班超”联赛，着力培养学生运动兴趣与技能。</w:t>
            </w:r>
          </w:p>
        </w:tc>
        <w:tc>
          <w:tcPr>
            <w:tcW w:w="2370" w:type="dxa"/>
            <w:noWrap w:val="0"/>
            <w:vAlign w:val="center"/>
          </w:tcPr>
          <w:p w14:paraId="2CCEAE0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41BC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E0D33A7">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29</w:t>
            </w:r>
          </w:p>
        </w:tc>
        <w:tc>
          <w:tcPr>
            <w:tcW w:w="2055" w:type="dxa"/>
            <w:vMerge w:val="continue"/>
            <w:noWrap w:val="0"/>
            <w:vAlign w:val="center"/>
          </w:tcPr>
          <w:p w14:paraId="10C3492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26B7917">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加大青少年体育赛事活动供给，完善分学段、跨区域的青少年体育赛事体系，保障赛事活动全年不断线。</w:t>
            </w:r>
          </w:p>
        </w:tc>
        <w:tc>
          <w:tcPr>
            <w:tcW w:w="2370" w:type="dxa"/>
            <w:noWrap w:val="0"/>
            <w:vAlign w:val="center"/>
          </w:tcPr>
          <w:p w14:paraId="1666BD4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市体育局</w:t>
            </w:r>
          </w:p>
          <w:p w14:paraId="05B8F20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61C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7CD0368">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30</w:t>
            </w:r>
          </w:p>
        </w:tc>
        <w:tc>
          <w:tcPr>
            <w:tcW w:w="2055" w:type="dxa"/>
            <w:vMerge w:val="continue"/>
            <w:noWrap w:val="0"/>
            <w:vAlign w:val="center"/>
          </w:tcPr>
          <w:p w14:paraId="34953D4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8E1BF6D">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夯实儿童屈光筛查工作基础，提升妇幼保健院及基层医疗卫生机构屈光筛查服务能力，扩大0—6岁儿童屈光筛查覆盖面。</w:t>
            </w:r>
          </w:p>
        </w:tc>
        <w:tc>
          <w:tcPr>
            <w:tcW w:w="2370" w:type="dxa"/>
            <w:noWrap w:val="0"/>
            <w:vAlign w:val="center"/>
          </w:tcPr>
          <w:p w14:paraId="7FDF562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25A7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172C10D">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31</w:t>
            </w:r>
          </w:p>
        </w:tc>
        <w:tc>
          <w:tcPr>
            <w:tcW w:w="2055" w:type="dxa"/>
            <w:vMerge w:val="continue"/>
            <w:noWrap w:val="0"/>
            <w:vAlign w:val="center"/>
          </w:tcPr>
          <w:p w14:paraId="2C257DF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9053DCB">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落实中小学生“身心健康二十条”，开展学龄前儿童远视储备量监测，建立大班儿童常态化屈光筛查机制。</w:t>
            </w:r>
          </w:p>
        </w:tc>
        <w:tc>
          <w:tcPr>
            <w:tcW w:w="2370" w:type="dxa"/>
            <w:noWrap w:val="0"/>
            <w:vAlign w:val="center"/>
          </w:tcPr>
          <w:p w14:paraId="10CDE64D">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3EAA71F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44F8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8515205">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32</w:t>
            </w:r>
          </w:p>
        </w:tc>
        <w:tc>
          <w:tcPr>
            <w:tcW w:w="2055" w:type="dxa"/>
            <w:vMerge w:val="continue"/>
            <w:noWrap w:val="0"/>
            <w:vAlign w:val="center"/>
          </w:tcPr>
          <w:p w14:paraId="7462E428">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4B322B7">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做好幼儿园每半年1次、中小学校每学期2次视力检测，开展视力及健康影响因素调查，实施分级分类干预指导，加强检测结果异常儿童的诊断、咨询指导和矫治服务。</w:t>
            </w:r>
          </w:p>
        </w:tc>
        <w:tc>
          <w:tcPr>
            <w:tcW w:w="2370" w:type="dxa"/>
            <w:noWrap w:val="0"/>
            <w:vAlign w:val="center"/>
          </w:tcPr>
          <w:p w14:paraId="2E57E72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3DEE2F65">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3823DE8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tc>
      </w:tr>
      <w:tr w14:paraId="0B91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F5AD348">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33</w:t>
            </w:r>
          </w:p>
        </w:tc>
        <w:tc>
          <w:tcPr>
            <w:tcW w:w="2055" w:type="dxa"/>
            <w:vMerge w:val="continue"/>
            <w:noWrap w:val="0"/>
            <w:vAlign w:val="center"/>
          </w:tcPr>
          <w:p w14:paraId="3AB9AE93">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9A2F410">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推广应用中医药特色技术和方法，制定眼保健特色技术服务包，预防近视发生。</w:t>
            </w:r>
          </w:p>
        </w:tc>
        <w:tc>
          <w:tcPr>
            <w:tcW w:w="2370" w:type="dxa"/>
            <w:noWrap w:val="0"/>
            <w:vAlign w:val="center"/>
          </w:tcPr>
          <w:p w14:paraId="23FA092C">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市中医药局</w:t>
            </w:r>
          </w:p>
        </w:tc>
      </w:tr>
      <w:tr w14:paraId="7E73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3441C34">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34</w:t>
            </w:r>
          </w:p>
        </w:tc>
        <w:tc>
          <w:tcPr>
            <w:tcW w:w="2055" w:type="dxa"/>
            <w:vMerge w:val="continue"/>
            <w:noWrap w:val="0"/>
            <w:vAlign w:val="center"/>
          </w:tcPr>
          <w:p w14:paraId="17B89188">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213072D">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提升家庭科学用眼意识，指导家长要从孩子出生就树立近视防控意识，督促儿童从小养成良好的用眼习惯，积极引导孩子加强户外活动，每天接触自然光时长不少于1小时，引导监督孩子减少视屏类电子产品使用，优化家庭学习区布置，鼓励配置护眼台灯、可升降桌椅。</w:t>
            </w:r>
          </w:p>
        </w:tc>
        <w:tc>
          <w:tcPr>
            <w:tcW w:w="2370" w:type="dxa"/>
            <w:noWrap w:val="0"/>
            <w:vAlign w:val="center"/>
          </w:tcPr>
          <w:p w14:paraId="09187409">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38E394A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市妇联</w:t>
            </w:r>
          </w:p>
        </w:tc>
      </w:tr>
      <w:tr w14:paraId="179F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E0209C5">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35</w:t>
            </w:r>
          </w:p>
        </w:tc>
        <w:tc>
          <w:tcPr>
            <w:tcW w:w="2055" w:type="dxa"/>
            <w:vMerge w:val="continue"/>
            <w:noWrap w:val="0"/>
            <w:vAlign w:val="center"/>
          </w:tcPr>
          <w:p w14:paraId="56F90F2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DD93477">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深入实施“学校明亮工程”，中小学校教室照明应全面达标。</w:t>
            </w:r>
          </w:p>
        </w:tc>
        <w:tc>
          <w:tcPr>
            <w:tcW w:w="2370" w:type="dxa"/>
            <w:noWrap w:val="0"/>
            <w:vAlign w:val="center"/>
          </w:tcPr>
          <w:p w14:paraId="30AD5582">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632E515A">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市疾控局</w:t>
            </w:r>
          </w:p>
        </w:tc>
      </w:tr>
      <w:tr w14:paraId="082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0CFE501">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36</w:t>
            </w:r>
          </w:p>
        </w:tc>
        <w:tc>
          <w:tcPr>
            <w:tcW w:w="2055" w:type="dxa"/>
            <w:vMerge w:val="continue"/>
            <w:noWrap w:val="0"/>
            <w:vAlign w:val="center"/>
          </w:tcPr>
          <w:p w14:paraId="411814AA">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55DFEB1">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学校加强学生使用手机、平板电脑等视屏类电子产品管理，引导教师不过度依赖视屏类电子产品进行教学。</w:t>
            </w:r>
          </w:p>
        </w:tc>
        <w:tc>
          <w:tcPr>
            <w:tcW w:w="2370" w:type="dxa"/>
            <w:noWrap w:val="0"/>
            <w:vAlign w:val="center"/>
          </w:tcPr>
          <w:p w14:paraId="7F64EE20">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0267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11" w:type="dxa"/>
            <w:noWrap w:val="0"/>
            <w:vAlign w:val="center"/>
          </w:tcPr>
          <w:p w14:paraId="33A816DA">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37</w:t>
            </w:r>
          </w:p>
        </w:tc>
        <w:tc>
          <w:tcPr>
            <w:tcW w:w="2055" w:type="dxa"/>
            <w:vMerge w:val="continue"/>
            <w:noWrap w:val="0"/>
            <w:vAlign w:val="center"/>
          </w:tcPr>
          <w:p w14:paraId="1CDFE08E">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6DC41AE">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校外培训机构教室(教学场所)参照《中小学校教室采光和照明卫生标准》，为学生提供符合用眼卫生的学习环境。</w:t>
            </w:r>
          </w:p>
        </w:tc>
        <w:tc>
          <w:tcPr>
            <w:tcW w:w="2370" w:type="dxa"/>
            <w:noWrap w:val="0"/>
            <w:vAlign w:val="center"/>
          </w:tcPr>
          <w:p w14:paraId="495D6AA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6DB8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681EC56B">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38</w:t>
            </w:r>
          </w:p>
        </w:tc>
        <w:tc>
          <w:tcPr>
            <w:tcW w:w="2055" w:type="dxa"/>
            <w:vMerge w:val="continue"/>
            <w:noWrap w:val="0"/>
            <w:vAlign w:val="center"/>
          </w:tcPr>
          <w:p w14:paraId="4B77CBD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0656592">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推进妇幼保健院、儿童医院、二级以上综合医院、中医医院开设精神(心理)门诊，其中妇幼保健院实现全覆盖，儿童医院、二级及以上公立综合医院心理科或精神科设置比例达到90%，提升心理健康服务能力。</w:t>
            </w:r>
          </w:p>
        </w:tc>
        <w:tc>
          <w:tcPr>
            <w:tcW w:w="2370" w:type="dxa"/>
            <w:noWrap w:val="0"/>
            <w:vAlign w:val="center"/>
          </w:tcPr>
          <w:p w14:paraId="0E0A28F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35F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2285644">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39</w:t>
            </w:r>
          </w:p>
        </w:tc>
        <w:tc>
          <w:tcPr>
            <w:tcW w:w="2055" w:type="dxa"/>
            <w:vMerge w:val="continue"/>
            <w:noWrap w:val="0"/>
            <w:vAlign w:val="center"/>
          </w:tcPr>
          <w:p w14:paraId="5C7A443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6E1279C">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强化基层医疗服务机构0—6岁儿童心理行为发育异常儿童转诊与随访，促进早期识别、早期诊断与早期干预。</w:t>
            </w:r>
          </w:p>
        </w:tc>
        <w:tc>
          <w:tcPr>
            <w:tcW w:w="2370" w:type="dxa"/>
            <w:noWrap w:val="0"/>
            <w:vAlign w:val="center"/>
          </w:tcPr>
          <w:p w14:paraId="0040112B">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557E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944D2C5">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40</w:t>
            </w:r>
          </w:p>
        </w:tc>
        <w:tc>
          <w:tcPr>
            <w:tcW w:w="2055" w:type="dxa"/>
            <w:vMerge w:val="continue"/>
            <w:noWrap w:val="0"/>
            <w:vAlign w:val="center"/>
          </w:tcPr>
          <w:p w14:paraId="17829406">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D4E6860">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妇幼保健院、基层医疗卫生机构积极开展儿童早期发展服务，全面应用婴幼儿养育风险评估和咨询指导等适宜技术，提升养育人儿童早期发展技能。</w:t>
            </w:r>
          </w:p>
        </w:tc>
        <w:tc>
          <w:tcPr>
            <w:tcW w:w="2370" w:type="dxa"/>
            <w:noWrap w:val="0"/>
            <w:vAlign w:val="center"/>
          </w:tcPr>
          <w:p w14:paraId="262C87E8">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7DFA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186D321">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41</w:t>
            </w:r>
          </w:p>
        </w:tc>
        <w:tc>
          <w:tcPr>
            <w:tcW w:w="2055" w:type="dxa"/>
            <w:vMerge w:val="continue"/>
            <w:noWrap w:val="0"/>
            <w:vAlign w:val="center"/>
          </w:tcPr>
          <w:p w14:paraId="37771F3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ADC26A6">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推进孤独症儿童关爱中心建设，依托市残疾人康复中心，聚集多方资源提供一站式服务。</w:t>
            </w:r>
          </w:p>
        </w:tc>
        <w:tc>
          <w:tcPr>
            <w:tcW w:w="2370" w:type="dxa"/>
            <w:noWrap w:val="0"/>
            <w:vAlign w:val="center"/>
          </w:tcPr>
          <w:p w14:paraId="19F14802">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市残联</w:t>
            </w:r>
          </w:p>
        </w:tc>
      </w:tr>
      <w:tr w14:paraId="314E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B79DD55">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42</w:t>
            </w:r>
          </w:p>
        </w:tc>
        <w:tc>
          <w:tcPr>
            <w:tcW w:w="2055" w:type="dxa"/>
            <w:vMerge w:val="continue"/>
            <w:noWrap w:val="0"/>
            <w:vAlign w:val="center"/>
          </w:tcPr>
          <w:p w14:paraId="284B2439">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4089A10">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完善儿童孤独症康复服务供给，加强医疗机构康复服务，指导非医疗类民办康复机构服务专业化，并为符合条件的孤独症儿童提供康复救助。</w:t>
            </w:r>
          </w:p>
        </w:tc>
        <w:tc>
          <w:tcPr>
            <w:tcW w:w="2370" w:type="dxa"/>
            <w:noWrap w:val="0"/>
            <w:vAlign w:val="center"/>
          </w:tcPr>
          <w:p w14:paraId="74CF01ED">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市残联</w:t>
            </w:r>
          </w:p>
          <w:p w14:paraId="5FA43BD6">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2A94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F7485C1">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43</w:t>
            </w:r>
          </w:p>
        </w:tc>
        <w:tc>
          <w:tcPr>
            <w:tcW w:w="2055" w:type="dxa"/>
            <w:vMerge w:val="continue"/>
            <w:noWrap w:val="0"/>
            <w:vAlign w:val="center"/>
          </w:tcPr>
          <w:p w14:paraId="7CAA14D6">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3F5F59C">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推进中小学校心理辅导室建设全覆盖，鼓励在学校公共区域布置心理角、互动墙、减压装置等，打造“心灵加油站”。</w:t>
            </w:r>
          </w:p>
        </w:tc>
        <w:tc>
          <w:tcPr>
            <w:tcW w:w="2370" w:type="dxa"/>
            <w:noWrap w:val="0"/>
            <w:vAlign w:val="center"/>
          </w:tcPr>
          <w:p w14:paraId="50EA6F36">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0C58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E902BAD">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44</w:t>
            </w:r>
          </w:p>
        </w:tc>
        <w:tc>
          <w:tcPr>
            <w:tcW w:w="2055" w:type="dxa"/>
            <w:vMerge w:val="continue"/>
            <w:noWrap w:val="0"/>
            <w:vAlign w:val="center"/>
          </w:tcPr>
          <w:p w14:paraId="00332F2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898976B">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补齐专职心理健康教师缺口，</w:t>
            </w:r>
            <w:r>
              <w:rPr>
                <w:rFonts w:hint="eastAsia" w:ascii="仿宋_GB2312" w:hAnsi="仿宋_GB2312" w:eastAsia="仿宋_GB2312" w:cs="仿宋_GB2312"/>
                <w:color w:val="000000"/>
                <w:sz w:val="24"/>
                <w:szCs w:val="24"/>
                <w:vertAlign w:val="baseline"/>
                <w:lang w:eastAsia="zh-CN"/>
              </w:rPr>
              <w:t>中小学每校至少配备1名专(兼)职心理健康教育教师，鼓励配备具有心理学专业背景的专职心理健康教育教师。</w:t>
            </w:r>
          </w:p>
        </w:tc>
        <w:tc>
          <w:tcPr>
            <w:tcW w:w="2370" w:type="dxa"/>
            <w:noWrap w:val="0"/>
            <w:vAlign w:val="center"/>
          </w:tcPr>
          <w:p w14:paraId="0E850578">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5E8D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6350D5B">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45</w:t>
            </w:r>
          </w:p>
        </w:tc>
        <w:tc>
          <w:tcPr>
            <w:tcW w:w="2055" w:type="dxa"/>
            <w:vMerge w:val="continue"/>
            <w:noWrap w:val="0"/>
            <w:vAlign w:val="center"/>
          </w:tcPr>
          <w:p w14:paraId="19936192">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BE38E50">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督促小学四年级及以上年级每两周开设不少于1课时的心理健康教育课程或综合实践活动，研制《北京市中小学心理健康课程和实践活动操作指引（试行）》。</w:t>
            </w:r>
          </w:p>
        </w:tc>
        <w:tc>
          <w:tcPr>
            <w:tcW w:w="2370" w:type="dxa"/>
            <w:noWrap w:val="0"/>
            <w:vAlign w:val="center"/>
          </w:tcPr>
          <w:p w14:paraId="1BC84A6F">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574D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0BCE317">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46</w:t>
            </w:r>
          </w:p>
        </w:tc>
        <w:tc>
          <w:tcPr>
            <w:tcW w:w="2055" w:type="dxa"/>
            <w:vMerge w:val="continue"/>
            <w:noWrap w:val="0"/>
            <w:vAlign w:val="center"/>
          </w:tcPr>
          <w:p w14:paraId="5A0D5C66">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BCD06C4">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推广青少年心理健康服务包，强化同伴心理支持与教育。</w:t>
            </w:r>
          </w:p>
        </w:tc>
        <w:tc>
          <w:tcPr>
            <w:tcW w:w="2370" w:type="dxa"/>
            <w:noWrap w:val="0"/>
            <w:vAlign w:val="center"/>
          </w:tcPr>
          <w:p w14:paraId="61222DCD">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6392EAF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7588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7A592D3C">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47</w:t>
            </w:r>
          </w:p>
        </w:tc>
        <w:tc>
          <w:tcPr>
            <w:tcW w:w="2055" w:type="dxa"/>
            <w:vMerge w:val="continue"/>
            <w:noWrap w:val="0"/>
            <w:vAlign w:val="center"/>
          </w:tcPr>
          <w:p w14:paraId="1C850370">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A76C828">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结合中小学生健康体检，完善儿童青少年心理健康测评、咨询指导与分类干预服务，强化学生隐私保护。</w:t>
            </w:r>
          </w:p>
        </w:tc>
        <w:tc>
          <w:tcPr>
            <w:tcW w:w="2370" w:type="dxa"/>
            <w:noWrap w:val="0"/>
            <w:vAlign w:val="center"/>
          </w:tcPr>
          <w:p w14:paraId="2AADEC0A">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1E270B48">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7A12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4CA28E7">
            <w:pPr>
              <w:spacing w:after="0" w:line="440" w:lineRule="exact"/>
              <w:jc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48</w:t>
            </w:r>
          </w:p>
        </w:tc>
        <w:tc>
          <w:tcPr>
            <w:tcW w:w="2055" w:type="dxa"/>
            <w:vMerge w:val="continue"/>
            <w:noWrap w:val="0"/>
            <w:vAlign w:val="center"/>
          </w:tcPr>
          <w:p w14:paraId="11F6F16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1F91087">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强化中医药特色疗法在儿童青少年心理健康问题防治中的应用。</w:t>
            </w:r>
          </w:p>
        </w:tc>
        <w:tc>
          <w:tcPr>
            <w:tcW w:w="2370" w:type="dxa"/>
            <w:noWrap w:val="0"/>
            <w:vAlign w:val="center"/>
          </w:tcPr>
          <w:p w14:paraId="6052B001">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市中医药局</w:t>
            </w:r>
          </w:p>
        </w:tc>
      </w:tr>
      <w:tr w14:paraId="6FC7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CAEC50B">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49</w:t>
            </w:r>
          </w:p>
        </w:tc>
        <w:tc>
          <w:tcPr>
            <w:tcW w:w="2055" w:type="dxa"/>
            <w:vMerge w:val="continue"/>
            <w:noWrap w:val="0"/>
            <w:vAlign w:val="center"/>
          </w:tcPr>
          <w:p w14:paraId="480204F4">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B57600F">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做好北京市12356心理援助热线、12355北京市青少年心理与法律服务热线，探索研究推动北京市12356心理援助热线实体化运行，依托“12355润心工作坊”拓展公益服务。</w:t>
            </w:r>
          </w:p>
        </w:tc>
        <w:tc>
          <w:tcPr>
            <w:tcW w:w="2370" w:type="dxa"/>
            <w:noWrap w:val="0"/>
            <w:vAlign w:val="center"/>
          </w:tcPr>
          <w:p w14:paraId="163F380E">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6300D32A">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团市委</w:t>
            </w:r>
          </w:p>
        </w:tc>
      </w:tr>
      <w:tr w14:paraId="7FEC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678023EA">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50</w:t>
            </w:r>
          </w:p>
        </w:tc>
        <w:tc>
          <w:tcPr>
            <w:tcW w:w="2055" w:type="dxa"/>
            <w:vMerge w:val="continue"/>
            <w:noWrap w:val="0"/>
            <w:vAlign w:val="center"/>
          </w:tcPr>
          <w:p w14:paraId="12B2EAE7">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7BA509A">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学校、家长要引导学龄前儿童及中小学生加强体育锻炼，学龄前儿童每天要达到3小时身体活动，中小学生每天进行不少于</w:t>
            </w:r>
            <w:r>
              <w:rPr>
                <w:rFonts w:hint="eastAsia" w:ascii="仿宋_GB2312" w:hAnsi="仿宋_GB2312" w:eastAsia="仿宋_GB2312" w:cs="仿宋_GB2312"/>
                <w:color w:val="000000"/>
                <w:sz w:val="24"/>
                <w:szCs w:val="24"/>
                <w:vertAlign w:val="baseline"/>
                <w:lang w:val="en-US" w:eastAsia="zh-CN"/>
              </w:rPr>
              <w:t>1小时</w:t>
            </w:r>
            <w:r>
              <w:rPr>
                <w:rFonts w:hint="eastAsia" w:ascii="仿宋_GB2312" w:hAnsi="仿宋_GB2312" w:eastAsia="仿宋_GB2312" w:cs="仿宋_GB2312"/>
                <w:color w:val="000000"/>
                <w:sz w:val="24"/>
                <w:szCs w:val="24"/>
                <w:vertAlign w:val="baseline"/>
                <w:lang w:eastAsia="zh-CN"/>
              </w:rPr>
              <w:t>的中高强度身体运动，每周进行不少于3天的高强度身体活动或抗阻运动，增强肌肉力量，促进骨骼健康。</w:t>
            </w:r>
          </w:p>
        </w:tc>
        <w:tc>
          <w:tcPr>
            <w:tcW w:w="2370" w:type="dxa"/>
            <w:noWrap w:val="0"/>
            <w:vAlign w:val="center"/>
          </w:tcPr>
          <w:p w14:paraId="45E202AA">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69C2065F">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市体育局</w:t>
            </w:r>
          </w:p>
        </w:tc>
      </w:tr>
      <w:tr w14:paraId="3D1E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A94A3DE">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51</w:t>
            </w:r>
          </w:p>
        </w:tc>
        <w:tc>
          <w:tcPr>
            <w:tcW w:w="2055" w:type="dxa"/>
            <w:vMerge w:val="continue"/>
            <w:noWrap w:val="0"/>
            <w:vAlign w:val="center"/>
          </w:tcPr>
          <w:p w14:paraId="42B0A56E">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D97E1DB">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学校落实“双减”要求，切实降低课业负担，增加学生课外运动锻炼时间。</w:t>
            </w:r>
          </w:p>
        </w:tc>
        <w:tc>
          <w:tcPr>
            <w:tcW w:w="2370" w:type="dxa"/>
            <w:noWrap w:val="0"/>
            <w:vAlign w:val="center"/>
          </w:tcPr>
          <w:p w14:paraId="3BA65B15">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5C93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6678D5A0">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52</w:t>
            </w:r>
          </w:p>
        </w:tc>
        <w:tc>
          <w:tcPr>
            <w:tcW w:w="2055" w:type="dxa"/>
            <w:vMerge w:val="continue"/>
            <w:noWrap w:val="0"/>
            <w:vAlign w:val="center"/>
          </w:tcPr>
          <w:p w14:paraId="1CD11E2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10EC5CA3">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学校结合儿童青少年体格身高变化，指导中小学生选用合适的双肩书包，定期调整课桌椅高度和座位间距，促进形成健康体态。</w:t>
            </w:r>
          </w:p>
        </w:tc>
        <w:tc>
          <w:tcPr>
            <w:tcW w:w="2370" w:type="dxa"/>
            <w:noWrap w:val="0"/>
            <w:vAlign w:val="center"/>
          </w:tcPr>
          <w:p w14:paraId="7E925B4B">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5BB0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07375F7">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53</w:t>
            </w:r>
          </w:p>
        </w:tc>
        <w:tc>
          <w:tcPr>
            <w:tcW w:w="2055" w:type="dxa"/>
            <w:vMerge w:val="continue"/>
            <w:noWrap w:val="0"/>
            <w:vAlign w:val="center"/>
          </w:tcPr>
          <w:p w14:paraId="7DFAB2D1">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32F0B6F">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支持体育类科研院所与医疗机构合作，提供康复服务。</w:t>
            </w:r>
          </w:p>
        </w:tc>
        <w:tc>
          <w:tcPr>
            <w:tcW w:w="2370" w:type="dxa"/>
            <w:noWrap w:val="0"/>
            <w:vAlign w:val="center"/>
          </w:tcPr>
          <w:p w14:paraId="4794BAC9">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1DAB5641">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市体育局</w:t>
            </w:r>
          </w:p>
        </w:tc>
      </w:tr>
      <w:tr w14:paraId="2008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E0B4750">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54</w:t>
            </w:r>
          </w:p>
        </w:tc>
        <w:tc>
          <w:tcPr>
            <w:tcW w:w="2055" w:type="dxa"/>
            <w:vMerge w:val="continue"/>
            <w:noWrap w:val="0"/>
            <w:vAlign w:val="center"/>
          </w:tcPr>
          <w:p w14:paraId="693104E5">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06145D57">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充分发挥中医药干预儿童青少年脊柱弯曲异常的特色和优势，制定推广脊柱健康干预技术服务包，提升干预效果。</w:t>
            </w:r>
          </w:p>
        </w:tc>
        <w:tc>
          <w:tcPr>
            <w:tcW w:w="2370" w:type="dxa"/>
            <w:noWrap w:val="0"/>
            <w:vAlign w:val="center"/>
          </w:tcPr>
          <w:p w14:paraId="044C1183">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市中医药局</w:t>
            </w:r>
          </w:p>
        </w:tc>
      </w:tr>
      <w:tr w14:paraId="2D29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11" w:type="dxa"/>
            <w:noWrap w:val="0"/>
            <w:vAlign w:val="center"/>
          </w:tcPr>
          <w:p w14:paraId="6A67C09C">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55</w:t>
            </w:r>
          </w:p>
        </w:tc>
        <w:tc>
          <w:tcPr>
            <w:tcW w:w="2055" w:type="dxa"/>
            <w:vMerge w:val="continue"/>
            <w:noWrap w:val="0"/>
            <w:vAlign w:val="center"/>
          </w:tcPr>
          <w:p w14:paraId="32F9AD65">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C867015">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开展生命早期1000天口腔健康服务，基层医疗卫生机构结合0—6岁儿童健康管理服务强化儿童口腔健康检查和专业指导，将龋齿等口腔问题患儿按照网络进行转诊。</w:t>
            </w:r>
          </w:p>
        </w:tc>
        <w:tc>
          <w:tcPr>
            <w:tcW w:w="2370" w:type="dxa"/>
            <w:noWrap w:val="0"/>
            <w:vAlign w:val="center"/>
          </w:tcPr>
          <w:p w14:paraId="0CC74BFC">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市卫生健康委</w:t>
            </w:r>
          </w:p>
        </w:tc>
      </w:tr>
      <w:tr w14:paraId="3FD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11" w:type="dxa"/>
            <w:noWrap w:val="0"/>
            <w:vAlign w:val="center"/>
          </w:tcPr>
          <w:p w14:paraId="3ED056BF">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56</w:t>
            </w:r>
          </w:p>
        </w:tc>
        <w:tc>
          <w:tcPr>
            <w:tcW w:w="2055" w:type="dxa"/>
            <w:vMerge w:val="continue"/>
            <w:noWrap w:val="0"/>
            <w:vAlign w:val="center"/>
          </w:tcPr>
          <w:p w14:paraId="350E3398">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890547F">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优化整合中小学生健康体检、常见病监测和牙病防治项目口腔检查服务项目和数据资源，提升服务效能。</w:t>
            </w:r>
          </w:p>
        </w:tc>
        <w:tc>
          <w:tcPr>
            <w:tcW w:w="2370" w:type="dxa"/>
            <w:noWrap w:val="0"/>
            <w:vAlign w:val="center"/>
          </w:tcPr>
          <w:p w14:paraId="4EF9CF43">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1F58D40A">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7AA9B9E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0432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AFF85FA">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57</w:t>
            </w:r>
          </w:p>
        </w:tc>
        <w:tc>
          <w:tcPr>
            <w:tcW w:w="2055" w:type="dxa"/>
            <w:vMerge w:val="continue"/>
            <w:noWrap w:val="0"/>
            <w:vAlign w:val="center"/>
          </w:tcPr>
          <w:p w14:paraId="592A8E00">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8C960C5">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强化托幼机构幼儿口腔清洁措施，提升日间刷牙率。</w:t>
            </w:r>
          </w:p>
        </w:tc>
        <w:tc>
          <w:tcPr>
            <w:tcW w:w="2370" w:type="dxa"/>
            <w:noWrap w:val="0"/>
            <w:vAlign w:val="center"/>
          </w:tcPr>
          <w:p w14:paraId="773445D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20AB3D19">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6229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11" w:type="dxa"/>
            <w:noWrap w:val="0"/>
            <w:vAlign w:val="center"/>
          </w:tcPr>
          <w:p w14:paraId="0CFC8D91">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58</w:t>
            </w:r>
          </w:p>
        </w:tc>
        <w:tc>
          <w:tcPr>
            <w:tcW w:w="2055" w:type="dxa"/>
            <w:vMerge w:val="continue"/>
            <w:noWrap w:val="0"/>
            <w:vAlign w:val="center"/>
          </w:tcPr>
          <w:p w14:paraId="0AEF4E0D">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C1AAA6A">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持续做好3—6岁儿童局部用氟、7—9岁儿童窝沟封闭等专业预防服务，逐步降低龋患率。</w:t>
            </w:r>
          </w:p>
        </w:tc>
        <w:tc>
          <w:tcPr>
            <w:tcW w:w="2370" w:type="dxa"/>
            <w:noWrap w:val="0"/>
            <w:vAlign w:val="center"/>
          </w:tcPr>
          <w:p w14:paraId="43F4E011">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0F3EF018">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4465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5A9CD2D">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59</w:t>
            </w:r>
          </w:p>
        </w:tc>
        <w:tc>
          <w:tcPr>
            <w:tcW w:w="2055" w:type="dxa"/>
            <w:vMerge w:val="continue"/>
            <w:noWrap w:val="0"/>
            <w:vAlign w:val="center"/>
          </w:tcPr>
          <w:p w14:paraId="325ECB2C">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6FE735F">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医疗卫生机构、学校、托幼机构加强科普宣传，帮助家长和儿童掌握口腔健康知识和技能，指导家长督促儿童青少年养成“早晚刷牙、饭后漱口、使用含氟牙膏和牙线”的良好护齿行为。</w:t>
            </w:r>
          </w:p>
        </w:tc>
        <w:tc>
          <w:tcPr>
            <w:tcW w:w="2370" w:type="dxa"/>
            <w:noWrap w:val="0"/>
            <w:vAlign w:val="center"/>
          </w:tcPr>
          <w:p w14:paraId="319DDF0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66A3ED9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08ED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5C092B9">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60</w:t>
            </w:r>
          </w:p>
        </w:tc>
        <w:tc>
          <w:tcPr>
            <w:tcW w:w="2055" w:type="dxa"/>
            <w:vMerge w:val="continue"/>
            <w:noWrap w:val="0"/>
            <w:vAlign w:val="center"/>
          </w:tcPr>
          <w:p w14:paraId="7BB523CF">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54ABFBD5">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引导学龄前及学龄期儿童减少高粘、酸性强的食物摄入，减少致龋因素，保持牙齿健康。</w:t>
            </w:r>
          </w:p>
        </w:tc>
        <w:tc>
          <w:tcPr>
            <w:tcW w:w="2370" w:type="dxa"/>
            <w:noWrap w:val="0"/>
            <w:vAlign w:val="center"/>
          </w:tcPr>
          <w:p w14:paraId="7B1A7639">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1236691D">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497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E1B27BB">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61</w:t>
            </w:r>
          </w:p>
        </w:tc>
        <w:tc>
          <w:tcPr>
            <w:tcW w:w="2055" w:type="dxa"/>
            <w:vMerge w:val="restart"/>
            <w:noWrap w:val="0"/>
            <w:vAlign w:val="center"/>
          </w:tcPr>
          <w:p w14:paraId="65B6A330">
            <w:pPr>
              <w:spacing w:after="0" w:line="440" w:lineRule="exact"/>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多位一体，提升健康意识</w:t>
            </w:r>
          </w:p>
        </w:tc>
        <w:tc>
          <w:tcPr>
            <w:tcW w:w="8345" w:type="dxa"/>
            <w:noWrap w:val="0"/>
            <w:vAlign w:val="center"/>
          </w:tcPr>
          <w:p w14:paraId="6E9AC2F0">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充分发挥市级医育结合指导中心作用，依托首都教育、医疗资源，搭建市区医育结合指导中心、基层医疗卫生机构、托幼机构协同联动平台，创新打造“</w:t>
            </w:r>
            <w:r>
              <w:rPr>
                <w:rFonts w:hint="eastAsia" w:ascii="仿宋_GB2312" w:hAnsi="仿宋_GB2312" w:eastAsia="仿宋_GB2312" w:cs="仿宋_GB2312"/>
                <w:color w:val="000000"/>
                <w:sz w:val="24"/>
                <w:szCs w:val="24"/>
                <w:vertAlign w:val="baseline"/>
                <w:lang w:val="en-US" w:eastAsia="zh-CN"/>
              </w:rPr>
              <w:t>1+16+N+X</w:t>
            </w:r>
            <w:r>
              <w:rPr>
                <w:rFonts w:hint="eastAsia" w:ascii="仿宋_GB2312" w:hAnsi="仿宋_GB2312" w:eastAsia="仿宋_GB2312" w:cs="仿宋_GB2312"/>
                <w:color w:val="000000"/>
                <w:sz w:val="24"/>
                <w:szCs w:val="24"/>
                <w:vertAlign w:val="baseline"/>
                <w:lang w:eastAsia="zh-CN"/>
              </w:rPr>
              <w:t>”</w:t>
            </w:r>
            <w:r>
              <w:rPr>
                <w:rFonts w:hint="eastAsia" w:ascii="仿宋_GB2312" w:hAnsi="仿宋_GB2312" w:eastAsia="仿宋_GB2312" w:cs="仿宋_GB2312"/>
                <w:color w:val="000000"/>
                <w:sz w:val="24"/>
                <w:szCs w:val="24"/>
                <w:vertAlign w:val="baseline"/>
                <w:lang w:val="en-US" w:eastAsia="zh-CN"/>
              </w:rPr>
              <w:t>科学育儿模式。组织科学育儿专家团队</w:t>
            </w:r>
            <w:r>
              <w:rPr>
                <w:rFonts w:hint="eastAsia" w:ascii="仿宋_GB2312" w:hAnsi="仿宋_GB2312" w:eastAsia="仿宋_GB2312" w:cs="仿宋_GB2312"/>
                <w:color w:val="000000"/>
                <w:sz w:val="24"/>
                <w:szCs w:val="24"/>
                <w:vertAlign w:val="baseline"/>
                <w:lang w:eastAsia="zh-CN"/>
              </w:rPr>
              <w:t>，编制权威的科学育儿宝典。打造“线上</w:t>
            </w:r>
            <w:r>
              <w:rPr>
                <w:rFonts w:hint="eastAsia" w:ascii="仿宋_GB2312" w:hAnsi="仿宋_GB2312" w:eastAsia="仿宋_GB2312" w:cs="仿宋_GB2312"/>
                <w:color w:val="000000"/>
                <w:sz w:val="24"/>
                <w:szCs w:val="24"/>
                <w:vertAlign w:val="baseline"/>
                <w:lang w:val="en-US" w:eastAsia="zh-CN"/>
              </w:rPr>
              <w:t>+线下</w:t>
            </w:r>
            <w:r>
              <w:rPr>
                <w:rFonts w:hint="eastAsia" w:ascii="仿宋_GB2312" w:hAnsi="仿宋_GB2312" w:eastAsia="仿宋_GB2312" w:cs="仿宋_GB2312"/>
                <w:color w:val="000000"/>
                <w:sz w:val="24"/>
                <w:szCs w:val="24"/>
                <w:vertAlign w:val="baseline"/>
                <w:lang w:eastAsia="zh-CN"/>
              </w:rPr>
              <w:t>”科学育儿指导平台，利用新媒体精准推送科学育儿知识，树立“育儿京讲”品牌。</w:t>
            </w:r>
          </w:p>
        </w:tc>
        <w:tc>
          <w:tcPr>
            <w:tcW w:w="2370" w:type="dxa"/>
            <w:noWrap w:val="0"/>
            <w:vAlign w:val="center"/>
          </w:tcPr>
          <w:p w14:paraId="71AA9C18">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1A6F4ED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7F50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F8ADEB5">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62</w:t>
            </w:r>
          </w:p>
        </w:tc>
        <w:tc>
          <w:tcPr>
            <w:tcW w:w="2055" w:type="dxa"/>
            <w:vMerge w:val="continue"/>
            <w:noWrap w:val="0"/>
            <w:vAlign w:val="center"/>
          </w:tcPr>
          <w:p w14:paraId="78D08D2B">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3197C7C7">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建立覆盖全学段健康教育教学资源库，打造开学第一课、考生加油站等短视频栏目。围绕生活方式、生长发育与青春期保健、运动健康、心理健康、营养健康等开展健康教育，中小学校每学期至少开展一次心理健康讲座或相关教育活动。通过设立校园开放日、家校联席会等常态化沟通渠道，鼓励家长参与学生身心健康活动。</w:t>
            </w:r>
          </w:p>
        </w:tc>
        <w:tc>
          <w:tcPr>
            <w:tcW w:w="2370" w:type="dxa"/>
            <w:noWrap w:val="0"/>
            <w:vAlign w:val="center"/>
          </w:tcPr>
          <w:p w14:paraId="4EF699AF">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市教委</w:t>
            </w:r>
          </w:p>
        </w:tc>
      </w:tr>
      <w:tr w14:paraId="2C84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011" w:type="dxa"/>
            <w:noWrap w:val="0"/>
            <w:vAlign w:val="center"/>
          </w:tcPr>
          <w:p w14:paraId="1EFC1272">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63</w:t>
            </w:r>
          </w:p>
        </w:tc>
        <w:tc>
          <w:tcPr>
            <w:tcW w:w="2055" w:type="dxa"/>
            <w:vMerge w:val="continue"/>
            <w:noWrap w:val="0"/>
            <w:vAlign w:val="center"/>
          </w:tcPr>
          <w:p w14:paraId="64100030">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6679C894">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多部门协同，加强宣传动员和健康促进，激活健康教育活动实践场景。家庭、学校、社区、医疗卫生机构引导儿童青少年强化户外体育锻炼，养成健康饮食、科学用眼、健康护齿等行为习惯，保证充足睡眠，增强身体素质。结合重要纪念日等，开展主题鲜明的健康宣传活动。市区联动，形成“台、网、微、端、屏”全覆盖的宣传矩阵，为儿童青少年健康促进提供良好的舆论氛围。</w:t>
            </w:r>
          </w:p>
        </w:tc>
        <w:tc>
          <w:tcPr>
            <w:tcW w:w="2370" w:type="dxa"/>
            <w:noWrap w:val="0"/>
            <w:vAlign w:val="center"/>
          </w:tcPr>
          <w:p w14:paraId="67CC1A97">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市卫生健康委、市教委、市疾控局、市委网信办、市广电局、市体育局、市中医药局、市妇儿工委办公室、团市委、市妇联、市残联</w:t>
            </w:r>
          </w:p>
        </w:tc>
      </w:tr>
      <w:tr w14:paraId="20D4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A5110EC">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64</w:t>
            </w:r>
          </w:p>
        </w:tc>
        <w:tc>
          <w:tcPr>
            <w:tcW w:w="2055" w:type="dxa"/>
            <w:vMerge w:val="restart"/>
            <w:noWrap w:val="0"/>
            <w:vAlign w:val="center"/>
          </w:tcPr>
          <w:p w14:paraId="4CE6C753">
            <w:pPr>
              <w:spacing w:after="0" w:line="440" w:lineRule="exact"/>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智慧赋能，加强信息支撑</w:t>
            </w:r>
          </w:p>
        </w:tc>
        <w:tc>
          <w:tcPr>
            <w:tcW w:w="8345" w:type="dxa"/>
            <w:noWrap w:val="0"/>
            <w:vAlign w:val="center"/>
          </w:tcPr>
          <w:p w14:paraId="36239D9F">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开展“AI+儿童健康促进”专项活动，强化数智化研发成果在医学场景转化应用。支持医疗机构开发数字化儿童健康管理工具，针对儿童身心特点，研发儿童相关疾病的人工智能辅助诊断工具及智能机器人，提高儿童健康服务的可及性。</w:t>
            </w:r>
          </w:p>
        </w:tc>
        <w:tc>
          <w:tcPr>
            <w:tcW w:w="2370" w:type="dxa"/>
            <w:noWrap w:val="0"/>
            <w:vAlign w:val="center"/>
          </w:tcPr>
          <w:p w14:paraId="3C621A9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2AE1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32CEAD6">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65</w:t>
            </w:r>
          </w:p>
        </w:tc>
        <w:tc>
          <w:tcPr>
            <w:tcW w:w="2055" w:type="dxa"/>
            <w:vMerge w:val="continue"/>
            <w:noWrap w:val="0"/>
            <w:vAlign w:val="center"/>
          </w:tcPr>
          <w:p w14:paraId="2C734363">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7A73612C">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利用人工智能技术，搭建学生身心健康监测平台，为学生提供精准健康服务。</w:t>
            </w:r>
          </w:p>
        </w:tc>
        <w:tc>
          <w:tcPr>
            <w:tcW w:w="2370" w:type="dxa"/>
            <w:noWrap w:val="0"/>
            <w:vAlign w:val="center"/>
          </w:tcPr>
          <w:p w14:paraId="6476BBF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5EBE878F">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72D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65528E2">
            <w:pPr>
              <w:spacing w:after="0" w:line="44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66</w:t>
            </w:r>
          </w:p>
        </w:tc>
        <w:tc>
          <w:tcPr>
            <w:tcW w:w="2055" w:type="dxa"/>
            <w:vMerge w:val="continue"/>
            <w:noWrap w:val="0"/>
            <w:vAlign w:val="center"/>
          </w:tcPr>
          <w:p w14:paraId="19587D5B">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7D83656">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在基层医疗卫生机构推广使用人工智能“数字助手”，帮助全科医生提升儿童疾病的诊疗规范性和准确性。逐步扩大互联网诊疗首诊试点医疗机构和临床专业范围，促进“互联网+儿童健康”发展。</w:t>
            </w:r>
          </w:p>
        </w:tc>
        <w:tc>
          <w:tcPr>
            <w:tcW w:w="2370" w:type="dxa"/>
            <w:noWrap w:val="0"/>
            <w:vAlign w:val="center"/>
          </w:tcPr>
          <w:p w14:paraId="180A5DCE">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tc>
      </w:tr>
      <w:tr w14:paraId="44C2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7D75AE4C">
            <w:pPr>
              <w:spacing w:after="0" w:line="44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67</w:t>
            </w:r>
          </w:p>
        </w:tc>
        <w:tc>
          <w:tcPr>
            <w:tcW w:w="2055" w:type="dxa"/>
            <w:vMerge w:val="continue"/>
            <w:noWrap w:val="0"/>
            <w:vAlign w:val="center"/>
          </w:tcPr>
          <w:p w14:paraId="6E5E85A6">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F98D4FB">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教育部门</w:t>
            </w:r>
            <w:r>
              <w:rPr>
                <w:rFonts w:hint="eastAsia" w:ascii="仿宋_GB2312" w:hAnsi="仿宋_GB2312" w:eastAsia="仿宋_GB2312" w:cs="仿宋_GB2312"/>
                <w:color w:val="000000"/>
                <w:sz w:val="24"/>
                <w:szCs w:val="24"/>
                <w:vertAlign w:val="baseline"/>
                <w:lang w:val="en-US" w:eastAsia="zh-CN"/>
              </w:rPr>
              <w:t>打造线上线下结合的“家长学校”，为学生家长提供24小时在线答疑。</w:t>
            </w:r>
          </w:p>
        </w:tc>
        <w:tc>
          <w:tcPr>
            <w:tcW w:w="2370" w:type="dxa"/>
            <w:noWrap w:val="0"/>
            <w:vAlign w:val="center"/>
          </w:tcPr>
          <w:p w14:paraId="655BA020">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tc>
      </w:tr>
      <w:tr w14:paraId="122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A2D1EE7">
            <w:pPr>
              <w:spacing w:after="0" w:line="440" w:lineRule="exact"/>
              <w:jc w:val="center"/>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68</w:t>
            </w:r>
          </w:p>
        </w:tc>
        <w:tc>
          <w:tcPr>
            <w:tcW w:w="2055" w:type="dxa"/>
            <w:vMerge w:val="continue"/>
            <w:noWrap w:val="0"/>
            <w:vAlign w:val="center"/>
          </w:tcPr>
          <w:p w14:paraId="13F58363">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48F8059B">
            <w:pPr>
              <w:spacing w:after="0" w:line="240" w:lineRule="auto"/>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推动智能化青少年体育器材设备、AI运动能力测评等技术在体育课、校内外活动场景中应用。</w:t>
            </w:r>
          </w:p>
        </w:tc>
        <w:tc>
          <w:tcPr>
            <w:tcW w:w="2370" w:type="dxa"/>
            <w:noWrap w:val="0"/>
            <w:vAlign w:val="center"/>
          </w:tcPr>
          <w:p w14:paraId="19F707EB">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02DEA3A9">
            <w:pPr>
              <w:spacing w:after="0" w:line="240" w:lineRule="auto"/>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市体育局</w:t>
            </w:r>
          </w:p>
        </w:tc>
      </w:tr>
      <w:tr w14:paraId="4EB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7DF0387F">
            <w:pPr>
              <w:spacing w:after="0" w:line="440" w:lineRule="exact"/>
              <w:jc w:val="center"/>
              <w:rPr>
                <w:rFonts w:hint="default" w:ascii="仿宋_GB2312" w:hAnsi="仿宋_GB2312" w:eastAsia="仿宋_GB2312" w:cs="仿宋_GB2312"/>
                <w:color w:val="000000"/>
                <w:kern w:val="2"/>
                <w:sz w:val="24"/>
                <w:szCs w:val="24"/>
                <w:vertAlign w:val="baseline"/>
                <w:lang w:val="en-US" w:eastAsia="zh" w:bidi="ar-SA"/>
              </w:rPr>
            </w:pPr>
            <w:r>
              <w:rPr>
                <w:rFonts w:hint="eastAsia" w:ascii="仿宋_GB2312" w:hAnsi="仿宋_GB2312" w:eastAsia="仿宋_GB2312" w:cs="仿宋_GB2312"/>
                <w:color w:val="000000"/>
                <w:kern w:val="2"/>
                <w:sz w:val="24"/>
                <w:szCs w:val="24"/>
                <w:vertAlign w:val="baseline"/>
                <w:lang w:val="en-US" w:eastAsia="zh-CN" w:bidi="ar-SA"/>
              </w:rPr>
              <w:t>69</w:t>
            </w:r>
          </w:p>
        </w:tc>
        <w:tc>
          <w:tcPr>
            <w:tcW w:w="2055" w:type="dxa"/>
            <w:vMerge w:val="continue"/>
            <w:noWrap w:val="0"/>
            <w:vAlign w:val="center"/>
          </w:tcPr>
          <w:p w14:paraId="27563C60">
            <w:pPr>
              <w:spacing w:after="0" w:line="440" w:lineRule="exact"/>
              <w:jc w:val="center"/>
              <w:rPr>
                <w:rFonts w:hint="eastAsia" w:ascii="仿宋_GB2312" w:hAnsi="仿宋_GB2312" w:eastAsia="仿宋_GB2312" w:cs="仿宋_GB2312"/>
                <w:color w:val="000000"/>
                <w:sz w:val="24"/>
                <w:szCs w:val="24"/>
                <w:vertAlign w:val="baseline"/>
              </w:rPr>
            </w:pPr>
          </w:p>
        </w:tc>
        <w:tc>
          <w:tcPr>
            <w:tcW w:w="8345" w:type="dxa"/>
            <w:noWrap w:val="0"/>
            <w:vAlign w:val="center"/>
          </w:tcPr>
          <w:p w14:paraId="2B9D0730">
            <w:pPr>
              <w:spacing w:after="0" w:line="240" w:lineRule="auto"/>
              <w:jc w:val="left"/>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依托北京市全民健康信息平台，整合儿童青少年电子病历、健康体检、体质监测等多元数据，构建覆盖全周期、连续性的电子健康档案，形成一体化健康数据资源体系。开展健康状况及影响因素综合分析，实现个性化、定向化健康指导，并为各级管理机构提供动态监测、风险预警与决策支持服务，以数据驱动儿童青少年健康管理提质增效。</w:t>
            </w:r>
          </w:p>
        </w:tc>
        <w:tc>
          <w:tcPr>
            <w:tcW w:w="2370" w:type="dxa"/>
            <w:noWrap w:val="0"/>
            <w:vAlign w:val="center"/>
          </w:tcPr>
          <w:p w14:paraId="15E0460B">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市卫生健康委</w:t>
            </w:r>
          </w:p>
          <w:p w14:paraId="7BB29E8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市教委</w:t>
            </w:r>
          </w:p>
          <w:p w14:paraId="318F87C4">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市疾控局</w:t>
            </w:r>
          </w:p>
          <w:p w14:paraId="0CBD05A6">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市体育局</w:t>
            </w:r>
          </w:p>
          <w:p w14:paraId="655A80BA">
            <w:pPr>
              <w:spacing w:after="0" w:line="240" w:lineRule="auto"/>
              <w:jc w:val="center"/>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市残联</w:t>
            </w:r>
          </w:p>
        </w:tc>
      </w:tr>
    </w:tbl>
    <w:p w14:paraId="2AE11AAA">
      <w:pPr>
        <w:rPr>
          <w:rFonts w:hint="eastAsia"/>
          <w:lang w:val="en-US" w:eastAsia="zh-CN"/>
        </w:rPr>
      </w:pPr>
    </w:p>
    <w:sectPr>
      <w:headerReference r:id="rId3" w:type="default"/>
      <w:footerReference r:id="rId4" w:type="default"/>
      <w:pgSz w:w="16838" w:h="11906" w:orient="landscape"/>
      <w:pgMar w:top="1587" w:right="2098" w:bottom="1474" w:left="198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9F9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60CA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C60CA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847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20"/>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37622"/>
    <w:rsid w:val="04DF7CDC"/>
    <w:rsid w:val="053A2525"/>
    <w:rsid w:val="08CF3B70"/>
    <w:rsid w:val="09297778"/>
    <w:rsid w:val="0970660C"/>
    <w:rsid w:val="0D7F3B89"/>
    <w:rsid w:val="0F41676A"/>
    <w:rsid w:val="10125802"/>
    <w:rsid w:val="10EF12A7"/>
    <w:rsid w:val="11472E91"/>
    <w:rsid w:val="147B4BE6"/>
    <w:rsid w:val="14F450DE"/>
    <w:rsid w:val="19A1335A"/>
    <w:rsid w:val="1A7E2BEA"/>
    <w:rsid w:val="1BB8267A"/>
    <w:rsid w:val="1E0F4D36"/>
    <w:rsid w:val="1FDB2DA8"/>
    <w:rsid w:val="20AA51EA"/>
    <w:rsid w:val="2140415A"/>
    <w:rsid w:val="23FB7503"/>
    <w:rsid w:val="255F2A47"/>
    <w:rsid w:val="268B161A"/>
    <w:rsid w:val="2778394C"/>
    <w:rsid w:val="28732366"/>
    <w:rsid w:val="2AD4533E"/>
    <w:rsid w:val="2B643BDB"/>
    <w:rsid w:val="2B715282"/>
    <w:rsid w:val="2D133730"/>
    <w:rsid w:val="2D795D1E"/>
    <w:rsid w:val="2D7E77E3"/>
    <w:rsid w:val="2E165C6D"/>
    <w:rsid w:val="2F432A92"/>
    <w:rsid w:val="31264419"/>
    <w:rsid w:val="32D007AA"/>
    <w:rsid w:val="34DF4865"/>
    <w:rsid w:val="38E250CA"/>
    <w:rsid w:val="3BA90120"/>
    <w:rsid w:val="3BC27434"/>
    <w:rsid w:val="3E2B5E29"/>
    <w:rsid w:val="3F204661"/>
    <w:rsid w:val="406960D0"/>
    <w:rsid w:val="40FC63F3"/>
    <w:rsid w:val="43266CA1"/>
    <w:rsid w:val="45E038E7"/>
    <w:rsid w:val="4712301E"/>
    <w:rsid w:val="4B3B68BB"/>
    <w:rsid w:val="4C3D403B"/>
    <w:rsid w:val="4D5E1D35"/>
    <w:rsid w:val="4E086F29"/>
    <w:rsid w:val="4F9C34C0"/>
    <w:rsid w:val="52306A4E"/>
    <w:rsid w:val="56151261"/>
    <w:rsid w:val="563665FD"/>
    <w:rsid w:val="57C2283E"/>
    <w:rsid w:val="5846521D"/>
    <w:rsid w:val="584F400F"/>
    <w:rsid w:val="58B57CAD"/>
    <w:rsid w:val="58BA3515"/>
    <w:rsid w:val="592F3F03"/>
    <w:rsid w:val="596B6C35"/>
    <w:rsid w:val="5AA63D51"/>
    <w:rsid w:val="5BC00E43"/>
    <w:rsid w:val="5C551DB7"/>
    <w:rsid w:val="5E1B4A56"/>
    <w:rsid w:val="5E552BEE"/>
    <w:rsid w:val="621E68C3"/>
    <w:rsid w:val="62D82F16"/>
    <w:rsid w:val="62ED4A7C"/>
    <w:rsid w:val="640A7ABE"/>
    <w:rsid w:val="689A2A1B"/>
    <w:rsid w:val="6EB011EB"/>
    <w:rsid w:val="736359AD"/>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5">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6">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annotation text"/>
    <w:basedOn w:val="1"/>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ind w:firstLine="480"/>
    </w:pPr>
    <w:rPr>
      <w:b/>
      <w:bCs/>
      <w:sz w:val="24"/>
    </w:rPr>
  </w:style>
  <w:style w:type="paragraph" w:styleId="10">
    <w:name w:val="Block Text"/>
    <w:basedOn w:val="1"/>
    <w:qFormat/>
    <w:uiPriority w:val="0"/>
    <w:pPr>
      <w:spacing w:after="120"/>
      <w:ind w:left="1440" w:leftChars="700" w:right="1440" w:rightChars="7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style>
  <w:style w:type="paragraph" w:styleId="13">
    <w:name w:val="toc 1"/>
    <w:basedOn w:val="1"/>
    <w:next w:val="1"/>
    <w:qFormat/>
    <w:uiPriority w:val="0"/>
  </w:style>
  <w:style w:type="paragraph" w:styleId="14">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5">
    <w:name w:val="Body Text First Indent 2"/>
    <w:basedOn w:val="9"/>
    <w:next w:val="1"/>
    <w:unhideWhenUsed/>
    <w:qFormat/>
    <w:uiPriority w:val="99"/>
    <w:pPr>
      <w:spacing w:after="120"/>
      <w:ind w:left="420" w:leftChars="200" w:firstLine="420"/>
    </w:pPr>
    <w:rPr>
      <w:rFonts w:ascii="Calibri" w:hAnsi="Calibri" w:eastAsia="仿宋" w:cs="Times New Roman"/>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TY标题5"/>
    <w:basedOn w:val="6"/>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21">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480</Words>
  <Characters>557</Characters>
  <Lines>0</Lines>
  <Paragraphs>0</Paragraphs>
  <TotalTime>0</TotalTime>
  <ScaleCrop>false</ScaleCrop>
  <LinksUpToDate>false</LinksUpToDate>
  <CharactersWithSpaces>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2026-04-28T15:13:45Z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