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3965">
      <w:pPr>
        <w:jc w:val="center"/>
        <w:rPr>
          <w:rFonts w:hint="eastAsia" w:ascii="黑体" w:hAnsi="黑体" w:eastAsia="黑体" w:cs="宋体"/>
          <w:bCs/>
          <w:sz w:val="32"/>
          <w:szCs w:val="32"/>
        </w:rPr>
      </w:pPr>
      <w:r>
        <w:rPr>
          <w:rFonts w:hint="eastAsia" w:ascii="黑体" w:hAnsi="黑体" w:eastAsia="黑体" w:cs="宋体"/>
          <w:bCs/>
          <w:sz w:val="32"/>
          <w:szCs w:val="32"/>
        </w:rPr>
        <w:t>附件1</w:t>
      </w:r>
    </w:p>
    <w:p w14:paraId="2523A3C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w:t>
      </w:r>
      <w:r>
        <w:rPr>
          <w:rFonts w:ascii="方正小标宋简体" w:hAnsi="方正小标宋简体" w:eastAsia="方正小标宋简体" w:cs="方正小标宋简体"/>
          <w:sz w:val="44"/>
          <w:szCs w:val="44"/>
        </w:rPr>
        <w:t>9</w:t>
      </w:r>
      <w:r>
        <w:rPr>
          <w:rFonts w:hint="eastAsia" w:ascii="方正小标宋简体" w:hAnsi="方正小标宋简体" w:eastAsia="方正小标宋简体" w:cs="方正小标宋简体"/>
          <w:sz w:val="44"/>
          <w:szCs w:val="44"/>
        </w:rPr>
        <w:t>年度社区卫生与基本公共卫生服务绩效考核指标</w:t>
      </w:r>
    </w:p>
    <w:p w14:paraId="6245DD9B">
      <w:pPr>
        <w:jc w:val="center"/>
        <w:rPr>
          <w:rFonts w:ascii="宋体" w:hAnsi="宋体" w:cs="宋体"/>
          <w:b/>
          <w:sz w:val="24"/>
        </w:rPr>
      </w:pPr>
    </w:p>
    <w:tbl>
      <w:tblPr>
        <w:tblStyle w:val="3"/>
        <w:tblW w:w="1434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08" w:type="dxa"/>
          <w:bottom w:w="15" w:type="dxa"/>
          <w:right w:w="108" w:type="dxa"/>
        </w:tblCellMar>
      </w:tblPr>
      <w:tblGrid>
        <w:gridCol w:w="1282"/>
        <w:gridCol w:w="994"/>
        <w:gridCol w:w="1134"/>
        <w:gridCol w:w="708"/>
        <w:gridCol w:w="7892"/>
        <w:gridCol w:w="2334"/>
      </w:tblGrid>
      <w:tr w14:paraId="08A91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47" w:hRule="atLeast"/>
          <w:jc w:val="center"/>
        </w:trPr>
        <w:tc>
          <w:tcPr>
            <w:tcW w:w="1282" w:type="dxa"/>
            <w:vAlign w:val="center"/>
          </w:tcPr>
          <w:p w14:paraId="69A87D01">
            <w:pPr>
              <w:widowControl/>
              <w:jc w:val="center"/>
              <w:rPr>
                <w:rFonts w:ascii="宋体" w:hAnsi="宋体" w:cs="宋体"/>
                <w:b/>
                <w:bCs/>
                <w:kern w:val="0"/>
                <w:szCs w:val="21"/>
              </w:rPr>
            </w:pPr>
            <w:bookmarkStart w:id="0" w:name="_Hlk61940306"/>
            <w:r>
              <w:rPr>
                <w:rFonts w:hint="eastAsia" w:ascii="宋体" w:hAnsi="宋体" w:cs="宋体"/>
                <w:b/>
                <w:bCs/>
                <w:kern w:val="0"/>
                <w:szCs w:val="21"/>
              </w:rPr>
              <w:t>一级指标</w:t>
            </w:r>
          </w:p>
        </w:tc>
        <w:tc>
          <w:tcPr>
            <w:tcW w:w="994" w:type="dxa"/>
            <w:vAlign w:val="center"/>
          </w:tcPr>
          <w:p w14:paraId="0C513109">
            <w:pPr>
              <w:widowControl/>
              <w:jc w:val="center"/>
              <w:rPr>
                <w:rFonts w:ascii="宋体" w:hAnsi="宋体" w:cs="宋体"/>
                <w:b/>
                <w:bCs/>
                <w:kern w:val="0"/>
                <w:szCs w:val="21"/>
              </w:rPr>
            </w:pPr>
            <w:r>
              <w:rPr>
                <w:rFonts w:hint="eastAsia" w:ascii="宋体" w:hAnsi="宋体" w:cs="宋体"/>
                <w:b/>
                <w:bCs/>
                <w:kern w:val="0"/>
                <w:szCs w:val="21"/>
              </w:rPr>
              <w:t>二级指标</w:t>
            </w:r>
          </w:p>
        </w:tc>
        <w:tc>
          <w:tcPr>
            <w:tcW w:w="1134" w:type="dxa"/>
            <w:vAlign w:val="center"/>
          </w:tcPr>
          <w:p w14:paraId="04E2DF1C">
            <w:pPr>
              <w:widowControl/>
              <w:jc w:val="center"/>
              <w:rPr>
                <w:rFonts w:ascii="宋体" w:hAnsi="宋体" w:cs="宋体"/>
                <w:b/>
                <w:bCs/>
                <w:kern w:val="0"/>
                <w:szCs w:val="21"/>
              </w:rPr>
            </w:pPr>
            <w:r>
              <w:rPr>
                <w:rFonts w:hint="eastAsia" w:ascii="宋体" w:hAnsi="宋体" w:cs="宋体"/>
                <w:b/>
                <w:bCs/>
                <w:kern w:val="0"/>
                <w:szCs w:val="21"/>
              </w:rPr>
              <w:t>三级指标</w:t>
            </w:r>
          </w:p>
        </w:tc>
        <w:tc>
          <w:tcPr>
            <w:tcW w:w="708" w:type="dxa"/>
            <w:vAlign w:val="center"/>
          </w:tcPr>
          <w:p w14:paraId="3465BBDF">
            <w:pPr>
              <w:widowControl/>
              <w:jc w:val="center"/>
              <w:rPr>
                <w:rFonts w:hint="eastAsia" w:ascii="宋体" w:hAnsi="宋体" w:cs="宋体"/>
                <w:b/>
                <w:bCs/>
                <w:kern w:val="0"/>
                <w:szCs w:val="21"/>
              </w:rPr>
            </w:pPr>
            <w:r>
              <w:rPr>
                <w:rFonts w:hint="eastAsia" w:ascii="宋体" w:hAnsi="宋体" w:cs="宋体"/>
                <w:b/>
                <w:bCs/>
                <w:kern w:val="0"/>
                <w:szCs w:val="21"/>
              </w:rPr>
              <w:t>分值</w:t>
            </w:r>
          </w:p>
        </w:tc>
        <w:tc>
          <w:tcPr>
            <w:tcW w:w="7892" w:type="dxa"/>
            <w:vAlign w:val="center"/>
          </w:tcPr>
          <w:p w14:paraId="622EE1FA">
            <w:pPr>
              <w:widowControl/>
              <w:jc w:val="center"/>
              <w:rPr>
                <w:rFonts w:ascii="宋体" w:hAnsi="宋体" w:cs="宋体"/>
                <w:b/>
                <w:bCs/>
                <w:kern w:val="0"/>
                <w:szCs w:val="21"/>
              </w:rPr>
            </w:pPr>
            <w:r>
              <w:rPr>
                <w:rFonts w:hint="eastAsia" w:ascii="宋体" w:hAnsi="宋体" w:cs="宋体"/>
                <w:b/>
                <w:bCs/>
                <w:kern w:val="0"/>
                <w:szCs w:val="21"/>
              </w:rPr>
              <w:t>考核评分标准</w:t>
            </w:r>
          </w:p>
        </w:tc>
        <w:tc>
          <w:tcPr>
            <w:tcW w:w="2334" w:type="dxa"/>
            <w:vAlign w:val="center"/>
          </w:tcPr>
          <w:p w14:paraId="67985323">
            <w:pPr>
              <w:widowControl/>
              <w:jc w:val="center"/>
              <w:rPr>
                <w:rFonts w:hint="eastAsia" w:ascii="宋体" w:hAnsi="宋体" w:cs="宋体"/>
                <w:b/>
                <w:bCs/>
                <w:kern w:val="0"/>
                <w:szCs w:val="21"/>
              </w:rPr>
            </w:pPr>
            <w:r>
              <w:rPr>
                <w:rFonts w:hint="eastAsia" w:ascii="宋体" w:hAnsi="宋体" w:cs="宋体"/>
                <w:b/>
                <w:bCs/>
                <w:kern w:val="0"/>
                <w:szCs w:val="21"/>
              </w:rPr>
              <w:t>考核主体及核分方式</w:t>
            </w:r>
          </w:p>
        </w:tc>
      </w:tr>
      <w:tr w14:paraId="56D24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552" w:hRule="atLeast"/>
          <w:jc w:val="center"/>
        </w:trPr>
        <w:tc>
          <w:tcPr>
            <w:tcW w:w="1282" w:type="dxa"/>
            <w:vMerge w:val="restart"/>
            <w:vAlign w:val="center"/>
          </w:tcPr>
          <w:p w14:paraId="7A0DEB08">
            <w:pPr>
              <w:widowControl/>
              <w:jc w:val="center"/>
              <w:rPr>
                <w:rFonts w:ascii="宋体" w:hAnsi="宋体" w:cs="宋体"/>
                <w:kern w:val="0"/>
                <w:szCs w:val="21"/>
              </w:rPr>
            </w:pPr>
            <w:r>
              <w:rPr>
                <w:rFonts w:hint="eastAsia" w:ascii="宋体" w:hAnsi="宋体" w:cs="宋体"/>
                <w:kern w:val="0"/>
                <w:szCs w:val="21"/>
              </w:rPr>
              <w:t>一、服务提供</w:t>
            </w:r>
            <w:r>
              <w:rPr>
                <w:rFonts w:ascii="宋体" w:hAnsi="宋体" w:cs="宋体"/>
                <w:kern w:val="0"/>
                <w:szCs w:val="21"/>
              </w:rPr>
              <w:t>（61分）</w:t>
            </w:r>
          </w:p>
        </w:tc>
        <w:tc>
          <w:tcPr>
            <w:tcW w:w="994" w:type="dxa"/>
            <w:vMerge w:val="restart"/>
            <w:vAlign w:val="center"/>
          </w:tcPr>
          <w:p w14:paraId="6DBAEE62">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.基本医疗服务效率（11分）</w:t>
            </w:r>
          </w:p>
        </w:tc>
        <w:tc>
          <w:tcPr>
            <w:tcW w:w="1134" w:type="dxa"/>
            <w:vMerge w:val="restart"/>
            <w:vAlign w:val="center"/>
          </w:tcPr>
          <w:p w14:paraId="63D724B3">
            <w:pPr>
              <w:widowControl/>
              <w:jc w:val="center"/>
              <w:rPr>
                <w:rFonts w:ascii="宋体" w:hAnsi="宋体" w:cs="宋体"/>
                <w:kern w:val="0"/>
                <w:szCs w:val="21"/>
              </w:rPr>
            </w:pPr>
            <w:r>
              <w:rPr>
                <w:rFonts w:hint="eastAsia" w:ascii="宋体" w:hAnsi="宋体" w:cs="宋体"/>
                <w:kern w:val="0"/>
                <w:szCs w:val="21"/>
              </w:rPr>
              <w:t>1.1</w:t>
            </w:r>
            <w:r>
              <w:rPr>
                <w:rFonts w:ascii="宋体" w:hAnsi="宋体" w:cs="宋体"/>
                <w:kern w:val="0"/>
                <w:szCs w:val="21"/>
              </w:rPr>
              <w:t>医疗服务数量与效率（9分）</w:t>
            </w:r>
          </w:p>
        </w:tc>
        <w:tc>
          <w:tcPr>
            <w:tcW w:w="708" w:type="dxa"/>
            <w:vMerge w:val="restart"/>
            <w:vAlign w:val="center"/>
          </w:tcPr>
          <w:p w14:paraId="158665C6">
            <w:pPr>
              <w:widowControl/>
              <w:jc w:val="center"/>
              <w:rPr>
                <w:rFonts w:ascii="宋体" w:hAnsi="宋体" w:cs="宋体"/>
                <w:kern w:val="0"/>
                <w:szCs w:val="21"/>
              </w:rPr>
            </w:pPr>
            <w:r>
              <w:rPr>
                <w:rFonts w:ascii="宋体" w:hAnsi="宋体" w:cs="宋体"/>
                <w:kern w:val="0"/>
                <w:szCs w:val="21"/>
              </w:rPr>
              <w:t>9</w:t>
            </w:r>
          </w:p>
        </w:tc>
        <w:tc>
          <w:tcPr>
            <w:tcW w:w="7892" w:type="dxa"/>
            <w:vAlign w:val="center"/>
          </w:tcPr>
          <w:p w14:paraId="0EA42823">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区级社区卫生服务机构门急诊总人次发展速度（3分）</w:t>
            </w:r>
          </w:p>
          <w:p w14:paraId="56E81B53">
            <w:pPr>
              <w:widowControl/>
              <w:jc w:val="center"/>
              <w:rPr>
                <w:rFonts w:ascii="宋体" w:hAnsi="宋体" w:cs="宋体"/>
                <w:kern w:val="0"/>
                <w:szCs w:val="21"/>
              </w:rPr>
            </w:pPr>
            <w:r>
              <w:rPr>
                <w:rFonts w:hint="eastAsia" w:ascii="宋体" w:hAnsi="宋体" w:cs="宋体"/>
                <w:kern w:val="0"/>
                <w:szCs w:val="21"/>
              </w:rPr>
              <w:t>201</w:t>
            </w:r>
            <w:r>
              <w:rPr>
                <w:rFonts w:ascii="宋体" w:hAnsi="宋体" w:cs="宋体"/>
                <w:kern w:val="0"/>
                <w:szCs w:val="21"/>
              </w:rPr>
              <w:t>9</w:t>
            </w:r>
            <w:r>
              <w:rPr>
                <w:rFonts w:hint="eastAsia" w:ascii="宋体" w:hAnsi="宋体" w:cs="宋体"/>
                <w:kern w:val="0"/>
                <w:szCs w:val="21"/>
              </w:rPr>
              <w:t>年本区社区卫生服务机构门急诊总人次/201</w:t>
            </w:r>
            <w:r>
              <w:rPr>
                <w:rFonts w:ascii="宋体" w:hAnsi="宋体" w:cs="宋体"/>
                <w:kern w:val="0"/>
                <w:szCs w:val="21"/>
              </w:rPr>
              <w:t>8</w:t>
            </w:r>
            <w:r>
              <w:rPr>
                <w:rFonts w:hint="eastAsia" w:ascii="宋体" w:hAnsi="宋体" w:cs="宋体"/>
                <w:kern w:val="0"/>
                <w:szCs w:val="21"/>
              </w:rPr>
              <w:t>年本区社区卫生服务机构门急诊总人次</w:t>
            </w:r>
          </w:p>
          <w:p w14:paraId="1AC0D52D">
            <w:pPr>
              <w:jc w:val="center"/>
              <w:rPr>
                <w:rFonts w:ascii="宋体" w:hAnsi="宋体" w:cs="宋体"/>
                <w:kern w:val="0"/>
                <w:szCs w:val="21"/>
              </w:rPr>
            </w:pPr>
            <w:r>
              <w:rPr>
                <w:rFonts w:hint="eastAsia" w:ascii="宋体" w:hAnsi="宋体" w:cs="宋体"/>
                <w:kern w:val="0"/>
                <w:szCs w:val="21"/>
              </w:rPr>
              <w:t>①该指标大于等于</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得满分</w:t>
            </w:r>
          </w:p>
          <w:p w14:paraId="65E466A3">
            <w:pPr>
              <w:widowControl/>
              <w:jc w:val="center"/>
              <w:rPr>
                <w:rFonts w:hint="eastAsia" w:ascii="宋体" w:hAnsi="宋体" w:cs="宋体"/>
                <w:kern w:val="0"/>
                <w:szCs w:val="21"/>
              </w:rPr>
            </w:pPr>
            <w:r>
              <w:rPr>
                <w:rFonts w:ascii="宋体" w:hAnsi="宋体" w:cs="宋体"/>
                <w:kern w:val="0"/>
                <w:szCs w:val="21"/>
              </w:rPr>
              <w:t>②该指标小于1</w:t>
            </w:r>
            <w:r>
              <w:rPr>
                <w:rFonts w:hint="eastAsia" w:ascii="宋体" w:hAnsi="宋体" w:cs="宋体"/>
                <w:kern w:val="0"/>
                <w:szCs w:val="21"/>
              </w:rPr>
              <w:t>，</w:t>
            </w:r>
            <w:r>
              <w:rPr>
                <w:rFonts w:ascii="宋体" w:hAnsi="宋体" w:cs="宋体"/>
                <w:kern w:val="0"/>
                <w:szCs w:val="21"/>
              </w:rPr>
              <w:t>得分=分值-区下降比率×3。</w:t>
            </w:r>
          </w:p>
        </w:tc>
        <w:tc>
          <w:tcPr>
            <w:tcW w:w="2334" w:type="dxa"/>
            <w:vAlign w:val="center"/>
          </w:tcPr>
          <w:p w14:paraId="37586065">
            <w:pPr>
              <w:widowControl/>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604AF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48" w:hRule="atLeast"/>
          <w:jc w:val="center"/>
        </w:trPr>
        <w:tc>
          <w:tcPr>
            <w:tcW w:w="1282" w:type="dxa"/>
            <w:vMerge w:val="continue"/>
            <w:vAlign w:val="center"/>
          </w:tcPr>
          <w:p w14:paraId="70097544">
            <w:pPr>
              <w:widowControl/>
              <w:jc w:val="center"/>
              <w:rPr>
                <w:rFonts w:ascii="宋体" w:hAnsi="宋体" w:cs="宋体"/>
                <w:kern w:val="0"/>
                <w:szCs w:val="21"/>
              </w:rPr>
            </w:pPr>
          </w:p>
        </w:tc>
        <w:tc>
          <w:tcPr>
            <w:tcW w:w="994" w:type="dxa"/>
            <w:vMerge w:val="continue"/>
            <w:vAlign w:val="center"/>
          </w:tcPr>
          <w:p w14:paraId="5E6A121C">
            <w:pPr>
              <w:widowControl/>
              <w:jc w:val="center"/>
              <w:rPr>
                <w:rFonts w:ascii="宋体" w:hAnsi="宋体" w:cs="宋体"/>
                <w:kern w:val="0"/>
                <w:szCs w:val="21"/>
              </w:rPr>
            </w:pPr>
          </w:p>
        </w:tc>
        <w:tc>
          <w:tcPr>
            <w:tcW w:w="1134" w:type="dxa"/>
            <w:vMerge w:val="continue"/>
            <w:vAlign w:val="center"/>
          </w:tcPr>
          <w:p w14:paraId="0BB5441B">
            <w:pPr>
              <w:widowControl/>
              <w:jc w:val="center"/>
              <w:rPr>
                <w:rFonts w:ascii="宋体" w:hAnsi="宋体" w:cs="宋体"/>
                <w:kern w:val="0"/>
                <w:szCs w:val="21"/>
              </w:rPr>
            </w:pPr>
          </w:p>
        </w:tc>
        <w:tc>
          <w:tcPr>
            <w:tcW w:w="708" w:type="dxa"/>
            <w:vMerge w:val="continue"/>
            <w:vAlign w:val="center"/>
          </w:tcPr>
          <w:p w14:paraId="73BEE01E">
            <w:pPr>
              <w:widowControl/>
              <w:jc w:val="center"/>
              <w:rPr>
                <w:rFonts w:ascii="宋体" w:hAnsi="宋体" w:cs="宋体"/>
                <w:kern w:val="0"/>
                <w:szCs w:val="21"/>
              </w:rPr>
            </w:pPr>
          </w:p>
        </w:tc>
        <w:tc>
          <w:tcPr>
            <w:tcW w:w="7892" w:type="dxa"/>
            <w:vAlign w:val="center"/>
          </w:tcPr>
          <w:p w14:paraId="76BA6FBB">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社区医师日均担负门急诊人次数（3分）</w:t>
            </w:r>
          </w:p>
          <w:p w14:paraId="18F7E482">
            <w:pPr>
              <w:widowControl/>
              <w:jc w:val="center"/>
              <w:rPr>
                <w:rFonts w:ascii="宋体" w:hAnsi="宋体" w:cs="宋体"/>
                <w:kern w:val="0"/>
                <w:szCs w:val="21"/>
              </w:rPr>
            </w:pPr>
            <w:r>
              <w:rPr>
                <w:rFonts w:hint="eastAsia" w:ascii="宋体" w:hAnsi="宋体" w:cs="宋体"/>
                <w:kern w:val="0"/>
                <w:szCs w:val="21"/>
              </w:rPr>
              <w:t>本区社区卫生服务机构门急诊总人次/本区平均在岗医师数/全年法定工作日</w:t>
            </w:r>
          </w:p>
          <w:p w14:paraId="20BA5813">
            <w:pPr>
              <w:jc w:val="center"/>
              <w:rPr>
                <w:rFonts w:ascii="宋体" w:hAnsi="宋体" w:cs="宋体"/>
                <w:kern w:val="0"/>
                <w:szCs w:val="21"/>
              </w:rPr>
            </w:pPr>
            <w:r>
              <w:rPr>
                <w:rFonts w:hint="eastAsia" w:ascii="宋体" w:hAnsi="宋体" w:cs="宋体"/>
                <w:kern w:val="0"/>
                <w:szCs w:val="21"/>
              </w:rPr>
              <w:t>①</w:t>
            </w:r>
            <w:r>
              <w:rPr>
                <w:rFonts w:ascii="宋体" w:hAnsi="宋体" w:cs="宋体"/>
                <w:kern w:val="0"/>
                <w:szCs w:val="21"/>
              </w:rPr>
              <w:t>2019年本区日均担负门急诊人次不低于本区上年度水平或全市2019年平均水平，得满分；</w:t>
            </w:r>
          </w:p>
          <w:p w14:paraId="715AA6DC">
            <w:pPr>
              <w:widowControl/>
              <w:jc w:val="center"/>
              <w:rPr>
                <w:rFonts w:hint="eastAsia" w:ascii="宋体" w:hAnsi="宋体" w:cs="宋体"/>
                <w:kern w:val="0"/>
                <w:szCs w:val="21"/>
              </w:rPr>
            </w:pPr>
            <w:r>
              <w:rPr>
                <w:rFonts w:ascii="宋体" w:hAnsi="宋体" w:cs="宋体"/>
                <w:kern w:val="0"/>
                <w:szCs w:val="21"/>
              </w:rPr>
              <w:t>②低于本区上年度水平且低于全市2019年平均水平，得分=分值-区下降比率×3。</w:t>
            </w:r>
          </w:p>
        </w:tc>
        <w:tc>
          <w:tcPr>
            <w:tcW w:w="2334" w:type="dxa"/>
            <w:vAlign w:val="center"/>
          </w:tcPr>
          <w:p w14:paraId="393F4B26">
            <w:pPr>
              <w:widowControl/>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03313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716" w:hRule="atLeast"/>
          <w:jc w:val="center"/>
        </w:trPr>
        <w:tc>
          <w:tcPr>
            <w:tcW w:w="1282" w:type="dxa"/>
            <w:vMerge w:val="continue"/>
            <w:vAlign w:val="center"/>
          </w:tcPr>
          <w:p w14:paraId="7A7D4EAE">
            <w:pPr>
              <w:widowControl/>
              <w:jc w:val="center"/>
              <w:rPr>
                <w:rFonts w:ascii="宋体" w:hAnsi="宋体" w:cs="宋体"/>
                <w:kern w:val="0"/>
                <w:szCs w:val="21"/>
              </w:rPr>
            </w:pPr>
          </w:p>
        </w:tc>
        <w:tc>
          <w:tcPr>
            <w:tcW w:w="994" w:type="dxa"/>
            <w:vMerge w:val="continue"/>
            <w:vAlign w:val="center"/>
          </w:tcPr>
          <w:p w14:paraId="0C85772B">
            <w:pPr>
              <w:widowControl/>
              <w:jc w:val="center"/>
              <w:rPr>
                <w:rFonts w:ascii="宋体" w:hAnsi="宋体" w:cs="宋体"/>
                <w:kern w:val="0"/>
                <w:szCs w:val="21"/>
              </w:rPr>
            </w:pPr>
          </w:p>
        </w:tc>
        <w:tc>
          <w:tcPr>
            <w:tcW w:w="1134" w:type="dxa"/>
            <w:vMerge w:val="continue"/>
            <w:vAlign w:val="center"/>
          </w:tcPr>
          <w:p w14:paraId="5CEACF88">
            <w:pPr>
              <w:widowControl/>
              <w:jc w:val="center"/>
              <w:rPr>
                <w:rFonts w:ascii="宋体" w:hAnsi="宋体" w:cs="宋体"/>
                <w:kern w:val="0"/>
                <w:szCs w:val="21"/>
              </w:rPr>
            </w:pPr>
          </w:p>
        </w:tc>
        <w:tc>
          <w:tcPr>
            <w:tcW w:w="708" w:type="dxa"/>
            <w:vMerge w:val="continue"/>
            <w:vAlign w:val="center"/>
          </w:tcPr>
          <w:p w14:paraId="4A48BEC6">
            <w:pPr>
              <w:widowControl/>
              <w:jc w:val="center"/>
              <w:rPr>
                <w:rFonts w:ascii="宋体" w:hAnsi="宋体" w:cs="宋体"/>
                <w:kern w:val="0"/>
                <w:szCs w:val="21"/>
              </w:rPr>
            </w:pPr>
          </w:p>
        </w:tc>
        <w:tc>
          <w:tcPr>
            <w:tcW w:w="7892" w:type="dxa"/>
            <w:vAlign w:val="center"/>
          </w:tcPr>
          <w:p w14:paraId="0EA1CDA2">
            <w:pPr>
              <w:widowControl/>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居民人年均利用社区卫生服务机构的次数（3分）</w:t>
            </w:r>
          </w:p>
          <w:p w14:paraId="465D39C5">
            <w:pPr>
              <w:widowControl/>
              <w:jc w:val="center"/>
              <w:rPr>
                <w:rFonts w:ascii="宋体" w:hAnsi="宋体" w:cs="宋体"/>
                <w:kern w:val="0"/>
                <w:szCs w:val="21"/>
              </w:rPr>
            </w:pPr>
            <w:r>
              <w:rPr>
                <w:rFonts w:hint="eastAsia" w:ascii="宋体" w:hAnsi="宋体" w:cs="宋体"/>
                <w:kern w:val="0"/>
                <w:szCs w:val="21"/>
              </w:rPr>
              <w:t>区社区卫生服务机构诊疗总人次/区常住人口</w:t>
            </w:r>
          </w:p>
          <w:p w14:paraId="4DDCB5F2">
            <w:pPr>
              <w:jc w:val="center"/>
              <w:rPr>
                <w:rFonts w:ascii="宋体" w:hAnsi="宋体" w:cs="宋体"/>
                <w:kern w:val="0"/>
                <w:szCs w:val="21"/>
              </w:rPr>
            </w:pPr>
            <w:r>
              <w:rPr>
                <w:rFonts w:hint="eastAsia" w:ascii="宋体" w:hAnsi="宋体" w:cs="宋体"/>
                <w:kern w:val="0"/>
                <w:szCs w:val="21"/>
              </w:rPr>
              <w:t>①</w:t>
            </w:r>
            <w:r>
              <w:rPr>
                <w:rFonts w:ascii="宋体" w:hAnsi="宋体" w:cs="宋体"/>
                <w:kern w:val="0"/>
                <w:szCs w:val="21"/>
              </w:rPr>
              <w:t>2019年本区居民利用次数不低于本区上年度水平或全市2019年全市平均水平，得满分；</w:t>
            </w:r>
          </w:p>
          <w:p w14:paraId="22EBF8EC">
            <w:pPr>
              <w:widowControl/>
              <w:jc w:val="center"/>
              <w:rPr>
                <w:rFonts w:hint="eastAsia" w:ascii="宋体" w:hAnsi="宋体" w:cs="宋体"/>
                <w:kern w:val="0"/>
                <w:szCs w:val="21"/>
              </w:rPr>
            </w:pPr>
            <w:r>
              <w:rPr>
                <w:rFonts w:ascii="宋体" w:hAnsi="宋体" w:cs="宋体"/>
                <w:kern w:val="0"/>
                <w:szCs w:val="21"/>
              </w:rPr>
              <w:t>②低于本区上年度水平且低于全市2019年平均水平，得分=分值-区下降比率×3。</w:t>
            </w:r>
          </w:p>
        </w:tc>
        <w:tc>
          <w:tcPr>
            <w:tcW w:w="2334" w:type="dxa"/>
            <w:vAlign w:val="center"/>
          </w:tcPr>
          <w:p w14:paraId="0539194C">
            <w:pPr>
              <w:widowControl/>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0FA6B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052" w:hRule="atLeast"/>
          <w:jc w:val="center"/>
        </w:trPr>
        <w:tc>
          <w:tcPr>
            <w:tcW w:w="1282" w:type="dxa"/>
            <w:vMerge w:val="continue"/>
            <w:vAlign w:val="center"/>
          </w:tcPr>
          <w:p w14:paraId="65C68F5F">
            <w:pPr>
              <w:widowControl/>
              <w:jc w:val="center"/>
              <w:rPr>
                <w:rFonts w:ascii="宋体" w:hAnsi="宋体" w:cs="宋体"/>
                <w:kern w:val="0"/>
                <w:szCs w:val="21"/>
              </w:rPr>
            </w:pPr>
          </w:p>
        </w:tc>
        <w:tc>
          <w:tcPr>
            <w:tcW w:w="994" w:type="dxa"/>
            <w:vMerge w:val="continue"/>
            <w:vAlign w:val="center"/>
          </w:tcPr>
          <w:p w14:paraId="4EBFA103">
            <w:pPr>
              <w:widowControl/>
              <w:jc w:val="center"/>
              <w:rPr>
                <w:rFonts w:ascii="宋体" w:hAnsi="宋体" w:cs="宋体"/>
                <w:kern w:val="0"/>
                <w:szCs w:val="21"/>
              </w:rPr>
            </w:pPr>
          </w:p>
        </w:tc>
        <w:tc>
          <w:tcPr>
            <w:tcW w:w="1134" w:type="dxa"/>
            <w:vAlign w:val="center"/>
          </w:tcPr>
          <w:p w14:paraId="0E23D4DC">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2药品供给情况（2分）</w:t>
            </w:r>
          </w:p>
        </w:tc>
        <w:tc>
          <w:tcPr>
            <w:tcW w:w="708" w:type="dxa"/>
            <w:vAlign w:val="center"/>
          </w:tcPr>
          <w:p w14:paraId="45CADA11">
            <w:pPr>
              <w:widowControl/>
              <w:jc w:val="center"/>
              <w:rPr>
                <w:rFonts w:ascii="宋体" w:hAnsi="宋体" w:cs="宋体"/>
                <w:kern w:val="0"/>
                <w:szCs w:val="21"/>
              </w:rPr>
            </w:pPr>
            <w:r>
              <w:rPr>
                <w:rFonts w:ascii="宋体" w:hAnsi="宋体" w:cs="宋体"/>
                <w:kern w:val="0"/>
                <w:szCs w:val="21"/>
              </w:rPr>
              <w:t>2</w:t>
            </w:r>
          </w:p>
        </w:tc>
        <w:tc>
          <w:tcPr>
            <w:tcW w:w="7892" w:type="dxa"/>
            <w:vAlign w:val="center"/>
          </w:tcPr>
          <w:p w14:paraId="7D221ECA">
            <w:pPr>
              <w:widowControl/>
              <w:jc w:val="center"/>
              <w:rPr>
                <w:rFonts w:hint="eastAsia" w:ascii="宋体" w:hAnsi="宋体" w:cs="宋体"/>
                <w:kern w:val="0"/>
                <w:szCs w:val="21"/>
              </w:rPr>
            </w:pPr>
            <w:r>
              <w:rPr>
                <w:rFonts w:ascii="宋体" w:hAnsi="宋体" w:cs="宋体"/>
                <w:kern w:val="0"/>
                <w:szCs w:val="21"/>
              </w:rPr>
              <w:t>基本药物占比和区级实施基本药物制度情况（2分）</w:t>
            </w:r>
            <w:r>
              <w:rPr>
                <w:rFonts w:hint="eastAsia" w:ascii="宋体" w:hAnsi="宋体" w:cs="宋体"/>
                <w:kern w:val="0"/>
                <w:szCs w:val="21"/>
              </w:rPr>
              <w:t>，由药品阳光采购平台数据直接核分。</w:t>
            </w:r>
          </w:p>
        </w:tc>
        <w:tc>
          <w:tcPr>
            <w:tcW w:w="2334" w:type="dxa"/>
            <w:vAlign w:val="center"/>
          </w:tcPr>
          <w:p w14:paraId="37087403">
            <w:pPr>
              <w:widowControl/>
              <w:jc w:val="center"/>
              <w:rPr>
                <w:rFonts w:hint="eastAsia" w:ascii="宋体" w:hAnsi="宋体" w:cs="宋体"/>
                <w:kern w:val="0"/>
                <w:szCs w:val="21"/>
              </w:rPr>
            </w:pPr>
            <w:r>
              <w:rPr>
                <w:rFonts w:hint="eastAsia" w:ascii="宋体" w:hAnsi="宋体" w:cs="宋体"/>
                <w:kern w:val="0"/>
                <w:szCs w:val="21"/>
              </w:rPr>
              <w:t>药械处提供考核结果。</w:t>
            </w:r>
          </w:p>
        </w:tc>
      </w:tr>
      <w:tr w14:paraId="543ED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3EB19E83">
            <w:pPr>
              <w:widowControl/>
              <w:jc w:val="center"/>
              <w:rPr>
                <w:rFonts w:ascii="宋体" w:hAnsi="宋体" w:cs="宋体"/>
                <w:kern w:val="0"/>
                <w:szCs w:val="21"/>
              </w:rPr>
            </w:pPr>
          </w:p>
        </w:tc>
        <w:tc>
          <w:tcPr>
            <w:tcW w:w="994" w:type="dxa"/>
            <w:vMerge w:val="restart"/>
            <w:vAlign w:val="center"/>
          </w:tcPr>
          <w:p w14:paraId="13BD7A68">
            <w:pPr>
              <w:widowControl/>
              <w:jc w:val="center"/>
              <w:rPr>
                <w:rFonts w:ascii="宋体" w:hAnsi="宋体" w:cs="宋体"/>
                <w:kern w:val="0"/>
                <w:szCs w:val="21"/>
              </w:rPr>
            </w:pPr>
            <w:r>
              <w:rPr>
                <w:rFonts w:ascii="宋体" w:hAnsi="宋体" w:cs="宋体"/>
                <w:kern w:val="0"/>
                <w:szCs w:val="21"/>
              </w:rPr>
              <w:t>2.基本公共卫生服务（46分）</w:t>
            </w:r>
          </w:p>
        </w:tc>
        <w:tc>
          <w:tcPr>
            <w:tcW w:w="1134" w:type="dxa"/>
            <w:vMerge w:val="restart"/>
            <w:vAlign w:val="center"/>
          </w:tcPr>
          <w:p w14:paraId="2A7EFAEC">
            <w:pPr>
              <w:widowControl/>
              <w:jc w:val="center"/>
              <w:rPr>
                <w:rFonts w:ascii="宋体" w:hAnsi="宋体" w:cs="宋体"/>
                <w:kern w:val="0"/>
                <w:szCs w:val="21"/>
              </w:rPr>
            </w:pPr>
            <w:r>
              <w:rPr>
                <w:rFonts w:hint="eastAsia" w:ascii="宋体" w:hAnsi="宋体" w:cs="宋体"/>
                <w:kern w:val="0"/>
                <w:szCs w:val="21"/>
              </w:rPr>
              <w:t>基本公共卫生服务项目（</w:t>
            </w:r>
            <w:r>
              <w:rPr>
                <w:rFonts w:ascii="宋体" w:hAnsi="宋体" w:cs="宋体"/>
                <w:kern w:val="0"/>
                <w:szCs w:val="21"/>
              </w:rPr>
              <w:t>46分）</w:t>
            </w:r>
          </w:p>
        </w:tc>
        <w:tc>
          <w:tcPr>
            <w:tcW w:w="708" w:type="dxa"/>
            <w:vAlign w:val="center"/>
          </w:tcPr>
          <w:p w14:paraId="22F570D4">
            <w:pPr>
              <w:widowControl/>
              <w:jc w:val="center"/>
              <w:rPr>
                <w:rFonts w:hint="eastAsia" w:ascii="宋体" w:hAnsi="宋体" w:cs="宋体"/>
                <w:kern w:val="0"/>
                <w:szCs w:val="21"/>
              </w:rPr>
            </w:pPr>
            <w:r>
              <w:rPr>
                <w:rFonts w:hint="eastAsia" w:ascii="宋体" w:hAnsi="宋体" w:cs="宋体"/>
                <w:kern w:val="0"/>
                <w:szCs w:val="21"/>
              </w:rPr>
              <w:t>3</w:t>
            </w:r>
          </w:p>
        </w:tc>
        <w:tc>
          <w:tcPr>
            <w:tcW w:w="7892" w:type="dxa"/>
            <w:vAlign w:val="center"/>
          </w:tcPr>
          <w:p w14:paraId="2980BFA4">
            <w:pPr>
              <w:widowControl/>
              <w:jc w:val="center"/>
              <w:rPr>
                <w:rFonts w:ascii="宋体" w:hAnsi="宋体" w:cs="Arial"/>
                <w:szCs w:val="21"/>
                <w:shd w:val="clear" w:color="auto" w:fill="FFFFFF"/>
              </w:rPr>
            </w:pPr>
            <w:r>
              <w:rPr>
                <w:rFonts w:hint="eastAsia" w:ascii="宋体" w:hAnsi="宋体" w:cs="宋体"/>
                <w:kern w:val="0"/>
                <w:szCs w:val="21"/>
              </w:rPr>
              <w:t>1</w:t>
            </w:r>
            <w:r>
              <w:rPr>
                <w:rFonts w:ascii="宋体" w:hAnsi="宋体" w:cs="宋体"/>
                <w:kern w:val="0"/>
                <w:szCs w:val="21"/>
              </w:rPr>
              <w:t>.</w:t>
            </w:r>
            <w:r>
              <w:rPr>
                <w:rFonts w:ascii="宋体" w:hAnsi="宋体" w:cs="Arial"/>
                <w:szCs w:val="21"/>
                <w:shd w:val="clear" w:color="auto" w:fill="FFFFFF"/>
              </w:rPr>
              <w:t>城乡居民健康档案管理</w:t>
            </w:r>
            <w:r>
              <w:rPr>
                <w:rFonts w:hint="eastAsia" w:ascii="宋体" w:hAnsi="宋体" w:cs="Arial"/>
                <w:szCs w:val="21"/>
                <w:shd w:val="clear" w:color="auto" w:fill="FFFFFF"/>
              </w:rPr>
              <w:t>：</w:t>
            </w:r>
          </w:p>
          <w:p w14:paraId="73287E42">
            <w:pPr>
              <w:widowControl/>
              <w:jc w:val="center"/>
              <w:rPr>
                <w:rFonts w:ascii="宋体" w:hAnsi="宋体" w:cs="Arial"/>
                <w:szCs w:val="21"/>
                <w:shd w:val="clear" w:color="auto" w:fill="FFFFFF"/>
              </w:rPr>
            </w:pPr>
            <w:r>
              <w:rPr>
                <w:rFonts w:hint="eastAsia" w:ascii="宋体" w:hAnsi="宋体" w:cs="Arial"/>
                <w:szCs w:val="21"/>
                <w:shd w:val="clear" w:color="auto" w:fill="FFFFFF"/>
              </w:rPr>
              <w:t>（1）各区电子建档率（2分）=本区电子档案数/本区常住人口数×100%</w:t>
            </w:r>
          </w:p>
          <w:p w14:paraId="5E4D8D2C">
            <w:pPr>
              <w:widowControl/>
              <w:jc w:val="center"/>
              <w:rPr>
                <w:rFonts w:hint="eastAsia" w:ascii="宋体" w:hAnsi="宋体" w:cs="宋体"/>
                <w:kern w:val="0"/>
                <w:szCs w:val="21"/>
              </w:rPr>
            </w:pPr>
            <w:r>
              <w:rPr>
                <w:rFonts w:hint="eastAsia" w:ascii="宋体" w:hAnsi="宋体" w:cs="宋体"/>
                <w:kern w:val="0"/>
                <w:szCs w:val="21"/>
              </w:rPr>
              <w:t>①≥8</w:t>
            </w:r>
            <w:r>
              <w:rPr>
                <w:rFonts w:ascii="宋体" w:hAnsi="宋体" w:cs="宋体"/>
                <w:kern w:val="0"/>
                <w:szCs w:val="21"/>
              </w:rPr>
              <w:t>0%，得满分；</w:t>
            </w:r>
            <w:r>
              <w:rPr>
                <w:rFonts w:hint="eastAsia" w:ascii="宋体" w:hAnsi="宋体" w:cs="宋体"/>
                <w:kern w:val="0"/>
                <w:szCs w:val="21"/>
              </w:rPr>
              <w:t>②＜8</w:t>
            </w:r>
            <w:r>
              <w:rPr>
                <w:rFonts w:ascii="宋体" w:hAnsi="宋体" w:cs="宋体"/>
                <w:kern w:val="0"/>
                <w:szCs w:val="21"/>
              </w:rPr>
              <w:t>0%，按比例得分。</w:t>
            </w:r>
          </w:p>
          <w:p w14:paraId="74EE967E">
            <w:pPr>
              <w:widowControl/>
              <w:jc w:val="center"/>
              <w:rPr>
                <w:rFonts w:ascii="宋体" w:hAnsi="宋体" w:cs="宋体"/>
                <w:kern w:val="0"/>
                <w:szCs w:val="21"/>
              </w:rPr>
            </w:pPr>
            <w:r>
              <w:rPr>
                <w:rFonts w:hint="eastAsia" w:ascii="宋体" w:hAnsi="宋体" w:cs="宋体"/>
                <w:kern w:val="0"/>
                <w:szCs w:val="21"/>
              </w:rPr>
              <w:t>（2）各区档案使用率</w:t>
            </w:r>
            <w:r>
              <w:rPr>
                <w:rFonts w:hint="eastAsia" w:ascii="宋体" w:hAnsi="宋体" w:cs="Arial"/>
                <w:szCs w:val="21"/>
                <w:shd w:val="clear" w:color="auto" w:fill="FFFFFF"/>
              </w:rPr>
              <w:t>（1分）</w:t>
            </w:r>
            <w:r>
              <w:rPr>
                <w:rFonts w:hint="eastAsia" w:ascii="宋体" w:hAnsi="宋体" w:cs="宋体"/>
                <w:kern w:val="0"/>
                <w:szCs w:val="21"/>
              </w:rPr>
              <w:t>=有动态记录的健康档案份数/本区电子档案总数</w:t>
            </w:r>
            <w:r>
              <w:rPr>
                <w:rFonts w:hint="eastAsia" w:ascii="宋体" w:hAnsi="宋体" w:cs="Arial"/>
                <w:szCs w:val="21"/>
                <w:shd w:val="clear" w:color="auto" w:fill="FFFFFF"/>
              </w:rPr>
              <w:t>×100%</w:t>
            </w:r>
          </w:p>
          <w:p w14:paraId="40502CFE">
            <w:pPr>
              <w:widowControl/>
              <w:jc w:val="center"/>
              <w:rPr>
                <w:rFonts w:hint="eastAsia" w:ascii="宋体" w:hAnsi="宋体" w:cs="宋体"/>
                <w:kern w:val="0"/>
                <w:szCs w:val="21"/>
              </w:rPr>
            </w:pPr>
            <w:r>
              <w:rPr>
                <w:rFonts w:hint="eastAsia" w:ascii="宋体" w:hAnsi="宋体" w:cs="宋体"/>
                <w:kern w:val="0"/>
                <w:szCs w:val="21"/>
              </w:rPr>
              <w:t>①≥5</w:t>
            </w:r>
            <w:r>
              <w:rPr>
                <w:rFonts w:ascii="宋体" w:hAnsi="宋体" w:cs="宋体"/>
                <w:kern w:val="0"/>
                <w:szCs w:val="21"/>
              </w:rPr>
              <w:t>5%，得满分；</w:t>
            </w:r>
            <w:r>
              <w:rPr>
                <w:rFonts w:hint="eastAsia" w:ascii="宋体" w:hAnsi="宋体" w:cs="宋体"/>
                <w:kern w:val="0"/>
                <w:szCs w:val="21"/>
              </w:rPr>
              <w:t>②＜5</w:t>
            </w:r>
            <w:r>
              <w:rPr>
                <w:rFonts w:ascii="宋体" w:hAnsi="宋体" w:cs="宋体"/>
                <w:kern w:val="0"/>
                <w:szCs w:val="21"/>
              </w:rPr>
              <w:t>5%，按比例得分。</w:t>
            </w:r>
          </w:p>
        </w:tc>
        <w:tc>
          <w:tcPr>
            <w:tcW w:w="2334" w:type="dxa"/>
            <w:vAlign w:val="center"/>
          </w:tcPr>
          <w:p w14:paraId="2F1B18F9">
            <w:pPr>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53A67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064D5FD0">
            <w:pPr>
              <w:widowControl/>
              <w:jc w:val="center"/>
              <w:rPr>
                <w:rFonts w:ascii="宋体" w:hAnsi="宋体" w:cs="宋体"/>
                <w:kern w:val="0"/>
                <w:szCs w:val="21"/>
              </w:rPr>
            </w:pPr>
          </w:p>
        </w:tc>
        <w:tc>
          <w:tcPr>
            <w:tcW w:w="994" w:type="dxa"/>
            <w:vMerge w:val="continue"/>
            <w:vAlign w:val="center"/>
          </w:tcPr>
          <w:p w14:paraId="4ED25F92">
            <w:pPr>
              <w:widowControl/>
              <w:jc w:val="center"/>
              <w:rPr>
                <w:rFonts w:hint="eastAsia" w:ascii="宋体" w:hAnsi="宋体" w:cs="宋体"/>
                <w:kern w:val="0"/>
                <w:szCs w:val="21"/>
              </w:rPr>
            </w:pPr>
          </w:p>
        </w:tc>
        <w:tc>
          <w:tcPr>
            <w:tcW w:w="1134" w:type="dxa"/>
            <w:vMerge w:val="continue"/>
            <w:vAlign w:val="center"/>
          </w:tcPr>
          <w:p w14:paraId="7D2B9993">
            <w:pPr>
              <w:widowControl/>
              <w:jc w:val="center"/>
              <w:rPr>
                <w:rFonts w:hint="eastAsia" w:ascii="宋体" w:hAnsi="宋体" w:cs="宋体"/>
                <w:kern w:val="0"/>
                <w:szCs w:val="21"/>
              </w:rPr>
            </w:pPr>
          </w:p>
        </w:tc>
        <w:tc>
          <w:tcPr>
            <w:tcW w:w="708" w:type="dxa"/>
            <w:vAlign w:val="center"/>
          </w:tcPr>
          <w:p w14:paraId="53A0CEFE">
            <w:pPr>
              <w:widowControl/>
              <w:jc w:val="center"/>
              <w:rPr>
                <w:rFonts w:hint="eastAsia" w:ascii="宋体" w:hAnsi="宋体" w:cs="宋体"/>
                <w:kern w:val="0"/>
                <w:szCs w:val="21"/>
              </w:rPr>
            </w:pPr>
            <w:r>
              <w:rPr>
                <w:rFonts w:ascii="宋体" w:hAnsi="宋体" w:cs="宋体"/>
                <w:kern w:val="0"/>
                <w:szCs w:val="21"/>
              </w:rPr>
              <w:t>2</w:t>
            </w:r>
          </w:p>
        </w:tc>
        <w:tc>
          <w:tcPr>
            <w:tcW w:w="7892" w:type="dxa"/>
            <w:vAlign w:val="center"/>
          </w:tcPr>
          <w:p w14:paraId="0D38BEF3">
            <w:pPr>
              <w:widowControl/>
              <w:numPr>
                <w:ilvl w:val="0"/>
                <w:numId w:val="1"/>
              </w:numPr>
              <w:jc w:val="center"/>
              <w:rPr>
                <w:rFonts w:hint="eastAsia" w:ascii="宋体" w:hAnsi="宋体" w:cs="Arial"/>
                <w:szCs w:val="21"/>
                <w:shd w:val="clear" w:color="auto" w:fill="FFFFFF"/>
              </w:rPr>
            </w:pPr>
            <w:r>
              <w:rPr>
                <w:rFonts w:hint="eastAsia" w:ascii="宋体" w:hAnsi="宋体" w:cs="宋体"/>
                <w:kern w:val="0"/>
                <w:szCs w:val="21"/>
              </w:rPr>
              <w:t>2</w:t>
            </w:r>
            <w:r>
              <w:rPr>
                <w:rFonts w:ascii="宋体" w:hAnsi="宋体" w:cs="宋体"/>
                <w:kern w:val="0"/>
                <w:szCs w:val="21"/>
              </w:rPr>
              <w:t>.</w:t>
            </w:r>
            <w:r>
              <w:rPr>
                <w:rFonts w:ascii="宋体" w:hAnsi="宋体" w:cs="Arial"/>
                <w:szCs w:val="21"/>
                <w:shd w:val="clear" w:color="auto" w:fill="FFFFFF"/>
              </w:rPr>
              <w:t>健康教育</w:t>
            </w:r>
            <w:r>
              <w:rPr>
                <w:rFonts w:hint="eastAsia" w:ascii="宋体" w:hAnsi="宋体" w:cs="Arial"/>
                <w:szCs w:val="21"/>
                <w:shd w:val="clear" w:color="auto" w:fill="FFFFFF"/>
              </w:rPr>
              <w:t>。</w:t>
            </w:r>
            <w:r>
              <w:rPr>
                <w:rFonts w:hint="eastAsia" w:ascii="宋体" w:hAnsi="宋体" w:cs="Arial"/>
                <w:szCs w:val="21"/>
                <w:shd w:val="clear" w:color="auto" w:fill="FFFFFF"/>
                <w:lang w:val="en-US" w:eastAsia="zh-CN"/>
              </w:rPr>
              <w:t>每项健康教育服务内容达到工作要求视为合格得0.4分，未达到工作要求按比例扣分</w:t>
            </w:r>
          </w:p>
          <w:p w14:paraId="4892737D">
            <w:pPr>
              <w:widowControl/>
              <w:numPr>
                <w:ilvl w:val="0"/>
                <w:numId w:val="2"/>
              </w:numPr>
              <w:ind w:left="425" w:leftChars="0" w:hanging="425" w:firstLineChars="0"/>
              <w:jc w:val="center"/>
              <w:rPr>
                <w:rFonts w:hint="eastAsia" w:ascii="宋体" w:hAnsi="宋体" w:cs="Arial"/>
                <w:szCs w:val="21"/>
                <w:shd w:val="clear" w:color="auto" w:fill="FFFFFF"/>
              </w:rPr>
            </w:pPr>
            <w:r>
              <w:rPr>
                <w:rFonts w:hint="eastAsia" w:ascii="宋体" w:hAnsi="宋体" w:cs="Arial"/>
                <w:szCs w:val="21"/>
                <w:shd w:val="clear" w:color="auto" w:fill="FFFFFF"/>
                <w:lang w:val="en-US" w:eastAsia="zh-CN"/>
              </w:rPr>
              <w:t>健康教育印刷资料种类数</w:t>
            </w:r>
          </w:p>
          <w:p w14:paraId="73D7A70E">
            <w:pPr>
              <w:widowControl/>
              <w:numPr>
                <w:ilvl w:val="0"/>
                <w:numId w:val="2"/>
              </w:numPr>
              <w:ind w:left="425" w:leftChars="0" w:hanging="425" w:firstLineChars="0"/>
              <w:jc w:val="center"/>
              <w:rPr>
                <w:rFonts w:hint="eastAsia" w:ascii="宋体" w:hAnsi="宋体" w:cs="Arial"/>
                <w:szCs w:val="21"/>
                <w:shd w:val="clear" w:color="auto" w:fill="FFFFFF"/>
              </w:rPr>
            </w:pPr>
            <w:r>
              <w:rPr>
                <w:rFonts w:hint="eastAsia" w:ascii="宋体" w:hAnsi="宋体" w:cs="Arial"/>
                <w:szCs w:val="21"/>
                <w:shd w:val="clear" w:color="auto" w:fill="FFFFFF"/>
                <w:lang w:val="en-US" w:eastAsia="zh-CN"/>
              </w:rPr>
              <w:t>健康教育音像资料种类数</w:t>
            </w:r>
          </w:p>
          <w:p w14:paraId="5B5E22AE">
            <w:pPr>
              <w:widowControl/>
              <w:numPr>
                <w:ilvl w:val="0"/>
                <w:numId w:val="2"/>
              </w:numPr>
              <w:ind w:left="425" w:leftChars="0" w:hanging="425" w:firstLineChars="0"/>
              <w:jc w:val="center"/>
              <w:rPr>
                <w:rFonts w:hint="eastAsia" w:ascii="宋体" w:hAnsi="宋体" w:cs="Arial"/>
                <w:szCs w:val="21"/>
                <w:shd w:val="clear" w:color="auto" w:fill="FFFFFF"/>
              </w:rPr>
            </w:pPr>
            <w:r>
              <w:rPr>
                <w:rFonts w:hint="eastAsia" w:ascii="宋体" w:hAnsi="宋体" w:cs="Arial"/>
                <w:szCs w:val="21"/>
                <w:shd w:val="clear" w:color="auto" w:fill="FFFFFF"/>
                <w:lang w:val="en-US" w:eastAsia="zh-CN"/>
              </w:rPr>
              <w:t>健康教育宣传栏设置数量</w:t>
            </w:r>
            <w:r>
              <w:rPr>
                <w:rFonts w:hint="eastAsia" w:ascii="宋体" w:hAnsi="宋体" w:cs="宋体"/>
                <w:kern w:val="0"/>
                <w:szCs w:val="21"/>
                <w:lang w:val="en-US" w:eastAsia="zh-CN"/>
              </w:rPr>
              <w:t>、</w:t>
            </w:r>
            <w:r>
              <w:rPr>
                <w:rFonts w:hint="eastAsia" w:ascii="宋体" w:hAnsi="宋体" w:cs="Arial"/>
                <w:szCs w:val="21"/>
                <w:shd w:val="clear" w:color="auto" w:fill="FFFFFF"/>
                <w:lang w:val="en-US" w:eastAsia="zh-CN"/>
              </w:rPr>
              <w:t>更新次数</w:t>
            </w:r>
          </w:p>
          <w:p w14:paraId="2976E9CD">
            <w:pPr>
              <w:widowControl/>
              <w:numPr>
                <w:ilvl w:val="0"/>
                <w:numId w:val="2"/>
              </w:numPr>
              <w:ind w:left="425" w:leftChars="0" w:hanging="425" w:firstLineChars="0"/>
              <w:jc w:val="center"/>
              <w:rPr>
                <w:rFonts w:hint="eastAsia" w:ascii="宋体" w:hAnsi="宋体" w:cs="Arial"/>
                <w:szCs w:val="21"/>
                <w:shd w:val="clear" w:color="auto" w:fill="FFFFFF"/>
              </w:rPr>
            </w:pPr>
            <w:r>
              <w:rPr>
                <w:rFonts w:hint="eastAsia" w:ascii="宋体" w:hAnsi="宋体" w:cs="Arial"/>
                <w:szCs w:val="21"/>
                <w:shd w:val="clear" w:color="auto" w:fill="FFFFFF"/>
                <w:lang w:val="en-US" w:eastAsia="zh-CN"/>
              </w:rPr>
              <w:t>健康知识讲座举办场次</w:t>
            </w:r>
            <w:r>
              <w:rPr>
                <w:rFonts w:hint="eastAsia" w:ascii="宋体" w:hAnsi="宋体" w:cs="宋体"/>
                <w:kern w:val="0"/>
                <w:szCs w:val="21"/>
                <w:lang w:eastAsia="zh-CN"/>
              </w:rPr>
              <w:t>、</w:t>
            </w:r>
            <w:r>
              <w:rPr>
                <w:rFonts w:hint="eastAsia" w:ascii="宋体" w:hAnsi="宋体" w:cs="Arial"/>
                <w:szCs w:val="21"/>
                <w:shd w:val="clear" w:color="auto" w:fill="FFFFFF"/>
                <w:lang w:val="en-US" w:eastAsia="zh-CN"/>
              </w:rPr>
              <w:t>覆盖人次数</w:t>
            </w:r>
          </w:p>
          <w:p w14:paraId="1A054B5A">
            <w:pPr>
              <w:widowControl/>
              <w:jc w:val="center"/>
              <w:rPr>
                <w:rFonts w:hint="eastAsia" w:ascii="宋体" w:hAnsi="宋体" w:cs="Arial"/>
                <w:szCs w:val="21"/>
                <w:shd w:val="clear" w:color="auto" w:fill="FFFFFF"/>
              </w:rPr>
            </w:pPr>
            <w:r>
              <w:rPr>
                <w:rFonts w:hint="eastAsia" w:ascii="宋体" w:hAnsi="宋体" w:cs="Arial"/>
                <w:szCs w:val="21"/>
                <w:shd w:val="clear" w:color="auto" w:fill="FFFFFF"/>
                <w:lang w:val="en-US" w:eastAsia="zh-CN"/>
              </w:rPr>
              <w:t>公众健康咨询活动举办场次</w:t>
            </w:r>
            <w:r>
              <w:rPr>
                <w:rFonts w:hint="eastAsia" w:ascii="宋体" w:hAnsi="宋体" w:cs="宋体"/>
                <w:kern w:val="0"/>
                <w:szCs w:val="21"/>
                <w:lang w:eastAsia="zh-CN"/>
              </w:rPr>
              <w:t>、</w:t>
            </w:r>
            <w:r>
              <w:rPr>
                <w:rFonts w:hint="eastAsia" w:ascii="宋体" w:hAnsi="宋体" w:cs="Arial"/>
                <w:szCs w:val="21"/>
                <w:shd w:val="clear" w:color="auto" w:fill="FFFFFF"/>
                <w:lang w:val="en-US" w:eastAsia="zh-CN"/>
              </w:rPr>
              <w:t>覆盖人次数</w:t>
            </w:r>
          </w:p>
        </w:tc>
        <w:tc>
          <w:tcPr>
            <w:tcW w:w="2334" w:type="dxa"/>
            <w:vAlign w:val="center"/>
          </w:tcPr>
          <w:p w14:paraId="76BD9334">
            <w:pPr>
              <w:widowControl/>
              <w:jc w:val="center"/>
              <w:rPr>
                <w:rFonts w:hint="eastAsia" w:ascii="宋体" w:hAnsi="宋体" w:cs="宋体"/>
                <w:kern w:val="0"/>
                <w:szCs w:val="21"/>
              </w:rPr>
            </w:pPr>
            <w:r>
              <w:rPr>
                <w:rFonts w:hint="eastAsia" w:ascii="宋体" w:hAnsi="宋体" w:cs="宋体"/>
                <w:kern w:val="0"/>
                <w:szCs w:val="21"/>
              </w:rPr>
              <w:t>健促处会同疾控中心健教所提供考核结果。</w:t>
            </w:r>
          </w:p>
        </w:tc>
      </w:tr>
      <w:tr w14:paraId="248A2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1B02E6F0">
            <w:pPr>
              <w:widowControl/>
              <w:jc w:val="center"/>
              <w:rPr>
                <w:rFonts w:ascii="宋体" w:hAnsi="宋体" w:cs="宋体"/>
                <w:kern w:val="0"/>
                <w:szCs w:val="21"/>
              </w:rPr>
            </w:pPr>
          </w:p>
        </w:tc>
        <w:tc>
          <w:tcPr>
            <w:tcW w:w="994" w:type="dxa"/>
            <w:vMerge w:val="continue"/>
            <w:vAlign w:val="center"/>
          </w:tcPr>
          <w:p w14:paraId="2949D76A">
            <w:pPr>
              <w:widowControl/>
              <w:jc w:val="center"/>
              <w:rPr>
                <w:rFonts w:hint="eastAsia" w:ascii="宋体" w:hAnsi="宋体" w:cs="宋体"/>
                <w:kern w:val="0"/>
                <w:szCs w:val="21"/>
              </w:rPr>
            </w:pPr>
          </w:p>
        </w:tc>
        <w:tc>
          <w:tcPr>
            <w:tcW w:w="1134" w:type="dxa"/>
            <w:vMerge w:val="continue"/>
            <w:vAlign w:val="center"/>
          </w:tcPr>
          <w:p w14:paraId="6BFB89D3">
            <w:pPr>
              <w:widowControl/>
              <w:jc w:val="center"/>
              <w:rPr>
                <w:rFonts w:hint="eastAsia" w:ascii="宋体" w:hAnsi="宋体" w:cs="宋体"/>
                <w:kern w:val="0"/>
                <w:szCs w:val="21"/>
              </w:rPr>
            </w:pPr>
          </w:p>
        </w:tc>
        <w:tc>
          <w:tcPr>
            <w:tcW w:w="708" w:type="dxa"/>
            <w:vAlign w:val="center"/>
          </w:tcPr>
          <w:p w14:paraId="6DD3EE91">
            <w:pPr>
              <w:widowControl/>
              <w:jc w:val="center"/>
              <w:rPr>
                <w:rFonts w:hint="eastAsia" w:ascii="宋体" w:hAnsi="宋体" w:cs="宋体"/>
                <w:kern w:val="0"/>
                <w:szCs w:val="21"/>
              </w:rPr>
            </w:pPr>
            <w:r>
              <w:rPr>
                <w:rFonts w:ascii="宋体" w:hAnsi="宋体" w:cs="宋体"/>
                <w:kern w:val="0"/>
                <w:szCs w:val="21"/>
              </w:rPr>
              <w:t>5</w:t>
            </w:r>
          </w:p>
        </w:tc>
        <w:tc>
          <w:tcPr>
            <w:tcW w:w="7892" w:type="dxa"/>
            <w:vAlign w:val="center"/>
          </w:tcPr>
          <w:p w14:paraId="49D35EF1">
            <w:pPr>
              <w:widowControl/>
              <w:jc w:val="center"/>
              <w:rPr>
                <w:rFonts w:hint="eastAsia" w:ascii="宋体" w:hAnsi="宋体" w:cs="宋体"/>
                <w:szCs w:val="21"/>
                <w:shd w:val="clear" w:color="auto" w:fill="FFFFFF"/>
              </w:rPr>
            </w:pPr>
            <w:r>
              <w:rPr>
                <w:rFonts w:hint="eastAsia" w:ascii="宋体" w:hAnsi="宋体" w:cs="宋体"/>
                <w:kern w:val="0"/>
                <w:szCs w:val="21"/>
              </w:rPr>
              <w:t>3.</w:t>
            </w:r>
            <w:r>
              <w:rPr>
                <w:rFonts w:hint="eastAsia" w:ascii="宋体" w:hAnsi="宋体" w:cs="宋体"/>
                <w:szCs w:val="21"/>
                <w:shd w:val="clear" w:color="auto" w:fill="FFFFFF"/>
              </w:rPr>
              <w:t>预防接种。</w:t>
            </w:r>
          </w:p>
          <w:p w14:paraId="612DCFD2">
            <w:pPr>
              <w:widowControl/>
              <w:jc w:val="center"/>
              <w:rPr>
                <w:rFonts w:hint="eastAsia"/>
                <w:color w:val="FF0000"/>
              </w:rPr>
            </w:pPr>
            <w:r>
              <w:rPr>
                <w:rFonts w:hint="eastAsia" w:ascii="宋体" w:hAnsi="宋体" w:cs="宋体"/>
                <w:kern w:val="0"/>
                <w:szCs w:val="21"/>
              </w:rPr>
              <w:t>在现有的报告系统内查看接种单位责任区域内，适龄儿童每种国家免疫规划疫苗接种率，所有国家免疫规划疫苗接种率≥90%得5分，每一种疫苗接种率不合格扣1分，扣完为止。</w:t>
            </w:r>
          </w:p>
        </w:tc>
        <w:tc>
          <w:tcPr>
            <w:tcW w:w="2334" w:type="dxa"/>
            <w:vAlign w:val="center"/>
          </w:tcPr>
          <w:p w14:paraId="4A6BB6E3">
            <w:pPr>
              <w:widowControl/>
              <w:jc w:val="center"/>
              <w:rPr>
                <w:rFonts w:hint="eastAsia" w:ascii="宋体" w:hAnsi="宋体" w:cs="宋体"/>
                <w:kern w:val="0"/>
                <w:szCs w:val="21"/>
              </w:rPr>
            </w:pPr>
            <w:r>
              <w:rPr>
                <w:rFonts w:hint="eastAsia" w:ascii="宋体" w:hAnsi="宋体" w:cs="宋体"/>
                <w:kern w:val="0"/>
                <w:szCs w:val="21"/>
              </w:rPr>
              <w:t>疾控处会同市疾控中心提供考核结果。</w:t>
            </w:r>
          </w:p>
        </w:tc>
      </w:tr>
      <w:tr w14:paraId="52BE8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16A507D8">
            <w:pPr>
              <w:widowControl/>
              <w:jc w:val="center"/>
              <w:rPr>
                <w:rFonts w:ascii="宋体" w:hAnsi="宋体" w:cs="宋体"/>
                <w:kern w:val="0"/>
                <w:szCs w:val="21"/>
              </w:rPr>
            </w:pPr>
          </w:p>
        </w:tc>
        <w:tc>
          <w:tcPr>
            <w:tcW w:w="994" w:type="dxa"/>
            <w:vMerge w:val="continue"/>
            <w:vAlign w:val="center"/>
          </w:tcPr>
          <w:p w14:paraId="72157E67">
            <w:pPr>
              <w:widowControl/>
              <w:jc w:val="center"/>
              <w:rPr>
                <w:rFonts w:hint="eastAsia" w:ascii="宋体" w:hAnsi="宋体" w:cs="宋体"/>
                <w:kern w:val="0"/>
                <w:szCs w:val="21"/>
              </w:rPr>
            </w:pPr>
          </w:p>
        </w:tc>
        <w:tc>
          <w:tcPr>
            <w:tcW w:w="1134" w:type="dxa"/>
            <w:vMerge w:val="continue"/>
            <w:vAlign w:val="center"/>
          </w:tcPr>
          <w:p w14:paraId="3C677159">
            <w:pPr>
              <w:widowControl/>
              <w:jc w:val="center"/>
              <w:rPr>
                <w:rFonts w:hint="eastAsia" w:ascii="宋体" w:hAnsi="宋体" w:cs="宋体"/>
                <w:kern w:val="0"/>
                <w:szCs w:val="21"/>
              </w:rPr>
            </w:pPr>
          </w:p>
        </w:tc>
        <w:tc>
          <w:tcPr>
            <w:tcW w:w="708" w:type="dxa"/>
            <w:vAlign w:val="center"/>
          </w:tcPr>
          <w:p w14:paraId="2AF0EDCA">
            <w:pPr>
              <w:widowControl/>
              <w:jc w:val="center"/>
              <w:rPr>
                <w:rFonts w:hint="eastAsia" w:ascii="宋体" w:hAnsi="宋体" w:cs="宋体"/>
                <w:kern w:val="0"/>
                <w:szCs w:val="21"/>
              </w:rPr>
            </w:pPr>
            <w:r>
              <w:rPr>
                <w:rFonts w:ascii="宋体" w:hAnsi="宋体" w:cs="宋体"/>
                <w:kern w:val="0"/>
                <w:szCs w:val="21"/>
              </w:rPr>
              <w:t>5</w:t>
            </w:r>
          </w:p>
        </w:tc>
        <w:tc>
          <w:tcPr>
            <w:tcW w:w="7892" w:type="dxa"/>
            <w:vAlign w:val="center"/>
          </w:tcPr>
          <w:p w14:paraId="31A363F3">
            <w:pPr>
              <w:widowControl/>
              <w:spacing w:line="240" w:lineRule="exact"/>
              <w:jc w:val="center"/>
              <w:rPr>
                <w:rFonts w:hint="eastAsia" w:ascii="宋体" w:hAnsi="宋体" w:cs="Arial"/>
                <w:szCs w:val="21"/>
                <w:shd w:val="clear" w:color="auto" w:fill="FFFFFF"/>
              </w:rPr>
            </w:pPr>
            <w:r>
              <w:rPr>
                <w:rFonts w:ascii="宋体" w:hAnsi="宋体" w:cs="Arial"/>
                <w:szCs w:val="21"/>
                <w:shd w:val="clear" w:color="auto" w:fill="FFFFFF"/>
              </w:rPr>
              <w:t>4.0～6岁儿童健康管理</w:t>
            </w:r>
            <w:r>
              <w:rPr>
                <w:rFonts w:hint="eastAsia" w:ascii="宋体" w:hAnsi="宋体" w:cs="Arial"/>
                <w:szCs w:val="21"/>
                <w:shd w:val="clear" w:color="auto" w:fill="FFFFFF"/>
              </w:rPr>
              <w:t>。</w:t>
            </w:r>
          </w:p>
          <w:p w14:paraId="53FF2D98">
            <w:pPr>
              <w:widowControl/>
              <w:spacing w:line="240" w:lineRule="exact"/>
              <w:jc w:val="center"/>
              <w:rPr>
                <w:rFonts w:ascii="仿宋_GB2312" w:hAnsi="仿宋_GB2312" w:eastAsia="仿宋_GB2312" w:cs="仿宋_GB2312"/>
                <w:b/>
                <w:bCs/>
                <w:kern w:val="0"/>
                <w:szCs w:val="21"/>
              </w:rPr>
            </w:pPr>
            <w:r>
              <w:rPr>
                <w:rFonts w:hint="eastAsia" w:ascii="宋体" w:hAnsi="宋体" w:cs="Arial"/>
                <w:szCs w:val="21"/>
                <w:shd w:val="clear" w:color="auto" w:fill="FFFFFF"/>
              </w:rPr>
              <w:t>考核指标：新生儿访视率、儿童健康管理率和儿童系统管理率是否达标及真实性</w:t>
            </w:r>
            <w:r>
              <w:rPr>
                <w:rFonts w:hint="eastAsia" w:ascii="宋体" w:hAnsi="宋体" w:cs="Arial"/>
                <w:szCs w:val="21"/>
                <w:shd w:val="clear" w:color="auto" w:fill="FFFFFF"/>
                <w:lang w:eastAsia="zh-CN"/>
              </w:rPr>
              <w:t>。</w:t>
            </w:r>
          </w:p>
          <w:p w14:paraId="4A1A1DDB">
            <w:pPr>
              <w:widowControl/>
              <w:jc w:val="center"/>
              <w:rPr>
                <w:rFonts w:hint="eastAsia" w:ascii="宋体" w:hAnsi="宋体" w:cs="宋体"/>
                <w:kern w:val="0"/>
                <w:szCs w:val="21"/>
              </w:rPr>
            </w:pPr>
            <w:r>
              <w:rPr>
                <w:rFonts w:hint="eastAsia" w:ascii="宋体" w:hAnsi="宋体" w:cs="宋体"/>
                <w:kern w:val="0"/>
                <w:szCs w:val="21"/>
              </w:rPr>
              <w:t>（1）新生儿访视率≥85%，得1分；不达标者得分=抽查的新生儿访视率/85%*1分。真实性：新生儿访视率真实得1分。</w:t>
            </w:r>
          </w:p>
          <w:p w14:paraId="71500C97">
            <w:pPr>
              <w:widowControl/>
              <w:jc w:val="center"/>
              <w:rPr>
                <w:rFonts w:ascii="宋体" w:hAnsi="宋体" w:cs="宋体"/>
                <w:kern w:val="0"/>
                <w:szCs w:val="21"/>
              </w:rPr>
            </w:pPr>
            <w:r>
              <w:rPr>
                <w:rFonts w:hint="eastAsia" w:ascii="宋体" w:hAnsi="宋体" w:cs="宋体"/>
                <w:kern w:val="0"/>
                <w:szCs w:val="21"/>
              </w:rPr>
              <w:t>（2）儿童健康管理率≥97%，得</w:t>
            </w:r>
            <w:r>
              <w:rPr>
                <w:rFonts w:ascii="宋体" w:hAnsi="宋体" w:cs="宋体"/>
                <w:kern w:val="0"/>
                <w:szCs w:val="21"/>
              </w:rPr>
              <w:t>2</w:t>
            </w:r>
            <w:r>
              <w:rPr>
                <w:rFonts w:hint="eastAsia" w:ascii="宋体" w:hAnsi="宋体" w:cs="宋体"/>
                <w:kern w:val="0"/>
                <w:szCs w:val="21"/>
              </w:rPr>
              <w:t>分。</w:t>
            </w:r>
          </w:p>
          <w:p w14:paraId="0D1D5C2F">
            <w:pPr>
              <w:widowControl/>
              <w:jc w:val="center"/>
              <w:rPr>
                <w:rFonts w:hint="eastAsia" w:ascii="宋体" w:hAnsi="宋体" w:cs="宋体"/>
                <w:kern w:val="0"/>
                <w:szCs w:val="21"/>
              </w:rPr>
            </w:pPr>
            <w:r>
              <w:rPr>
                <w:rFonts w:hint="eastAsia" w:ascii="宋体" w:hAnsi="宋体" w:cs="宋体"/>
                <w:kern w:val="0"/>
                <w:szCs w:val="21"/>
              </w:rPr>
              <w:t>（3）抽查的儿童系统管理率≥95%，得0.5分；不达标者得分=抽查的儿童系统管理率/95%*0.5分。真实性：儿童系统管理率真实得0.5分。</w:t>
            </w:r>
          </w:p>
        </w:tc>
        <w:tc>
          <w:tcPr>
            <w:tcW w:w="2334" w:type="dxa"/>
            <w:vAlign w:val="center"/>
          </w:tcPr>
          <w:p w14:paraId="20616E82">
            <w:pPr>
              <w:widowControl/>
              <w:jc w:val="center"/>
              <w:rPr>
                <w:rFonts w:hint="eastAsia" w:ascii="宋体" w:hAnsi="宋体" w:cs="宋体"/>
                <w:kern w:val="0"/>
                <w:szCs w:val="21"/>
              </w:rPr>
            </w:pPr>
            <w:r>
              <w:rPr>
                <w:rFonts w:hint="eastAsia" w:ascii="宋体" w:hAnsi="宋体" w:cs="宋体"/>
                <w:kern w:val="0"/>
                <w:szCs w:val="21"/>
              </w:rPr>
              <w:t>妇幼处提供考核结果。</w:t>
            </w:r>
          </w:p>
        </w:tc>
      </w:tr>
      <w:tr w14:paraId="63976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55291EFC">
            <w:pPr>
              <w:widowControl/>
              <w:jc w:val="center"/>
              <w:rPr>
                <w:rFonts w:ascii="宋体" w:hAnsi="宋体" w:cs="宋体"/>
                <w:kern w:val="0"/>
                <w:szCs w:val="21"/>
              </w:rPr>
            </w:pPr>
          </w:p>
        </w:tc>
        <w:tc>
          <w:tcPr>
            <w:tcW w:w="994" w:type="dxa"/>
            <w:vMerge w:val="continue"/>
            <w:vAlign w:val="center"/>
          </w:tcPr>
          <w:p w14:paraId="089B09DD">
            <w:pPr>
              <w:widowControl/>
              <w:jc w:val="center"/>
              <w:rPr>
                <w:rFonts w:hint="eastAsia" w:ascii="宋体" w:hAnsi="宋体" w:cs="宋体"/>
                <w:kern w:val="0"/>
                <w:szCs w:val="21"/>
              </w:rPr>
            </w:pPr>
          </w:p>
        </w:tc>
        <w:tc>
          <w:tcPr>
            <w:tcW w:w="1134" w:type="dxa"/>
            <w:vMerge w:val="continue"/>
            <w:vAlign w:val="center"/>
          </w:tcPr>
          <w:p w14:paraId="43A933E5">
            <w:pPr>
              <w:widowControl/>
              <w:jc w:val="center"/>
              <w:rPr>
                <w:rFonts w:hint="eastAsia" w:ascii="宋体" w:hAnsi="宋体" w:cs="宋体"/>
                <w:kern w:val="0"/>
                <w:szCs w:val="21"/>
              </w:rPr>
            </w:pPr>
          </w:p>
        </w:tc>
        <w:tc>
          <w:tcPr>
            <w:tcW w:w="708" w:type="dxa"/>
            <w:vAlign w:val="center"/>
          </w:tcPr>
          <w:p w14:paraId="5C2998D2">
            <w:pPr>
              <w:widowControl/>
              <w:jc w:val="center"/>
              <w:rPr>
                <w:rFonts w:hint="eastAsia" w:ascii="宋体" w:hAnsi="宋体" w:cs="宋体"/>
                <w:kern w:val="0"/>
                <w:szCs w:val="21"/>
              </w:rPr>
            </w:pPr>
            <w:r>
              <w:rPr>
                <w:rFonts w:ascii="宋体" w:hAnsi="宋体" w:cs="宋体"/>
                <w:kern w:val="0"/>
                <w:szCs w:val="21"/>
              </w:rPr>
              <w:t>5</w:t>
            </w:r>
          </w:p>
        </w:tc>
        <w:tc>
          <w:tcPr>
            <w:tcW w:w="7892" w:type="dxa"/>
            <w:vAlign w:val="center"/>
          </w:tcPr>
          <w:p w14:paraId="32A6B316">
            <w:pPr>
              <w:widowControl/>
              <w:numPr>
                <w:ilvl w:val="0"/>
                <w:numId w:val="3"/>
              </w:numPr>
              <w:jc w:val="center"/>
              <w:rPr>
                <w:rFonts w:hint="eastAsia" w:ascii="宋体" w:hAnsi="宋体" w:cs="Arial"/>
                <w:szCs w:val="21"/>
                <w:shd w:val="clear" w:color="auto" w:fill="FFFFFF"/>
              </w:rPr>
            </w:pPr>
            <w:r>
              <w:rPr>
                <w:rFonts w:ascii="宋体" w:hAnsi="宋体" w:cs="Arial"/>
                <w:szCs w:val="21"/>
                <w:shd w:val="clear" w:color="auto" w:fill="FFFFFF"/>
              </w:rPr>
              <w:t>孕产妇健康管理</w:t>
            </w:r>
            <w:r>
              <w:rPr>
                <w:rFonts w:hint="eastAsia" w:ascii="宋体" w:hAnsi="宋体" w:cs="Arial"/>
                <w:szCs w:val="21"/>
                <w:shd w:val="clear" w:color="auto" w:fill="FFFFFF"/>
              </w:rPr>
              <w:t>。</w:t>
            </w:r>
          </w:p>
          <w:p w14:paraId="2ADB6039">
            <w:pPr>
              <w:widowControl/>
              <w:numPr>
                <w:ilvl w:val="0"/>
                <w:numId w:val="0"/>
              </w:numPr>
              <w:jc w:val="center"/>
              <w:rPr>
                <w:rFonts w:ascii="宋体" w:hAnsi="宋体" w:cs="宋体"/>
                <w:kern w:val="0"/>
                <w:szCs w:val="21"/>
              </w:rPr>
            </w:pPr>
            <w:r>
              <w:rPr>
                <w:rFonts w:hint="eastAsia" w:ascii="宋体" w:hAnsi="宋体" w:cs="宋体"/>
                <w:kern w:val="0"/>
                <w:szCs w:val="21"/>
              </w:rPr>
              <w:t>考核指标</w:t>
            </w:r>
            <w:r>
              <w:rPr>
                <w:rFonts w:ascii="宋体" w:hAnsi="宋体" w:cs="宋体"/>
                <w:kern w:val="0"/>
                <w:szCs w:val="21"/>
              </w:rPr>
              <w:t>：</w:t>
            </w:r>
            <w:r>
              <w:rPr>
                <w:rFonts w:hint="eastAsia" w:ascii="宋体" w:hAnsi="宋体" w:cs="宋体"/>
                <w:kern w:val="0"/>
                <w:szCs w:val="21"/>
              </w:rPr>
              <w:t>早孕建册率、产前健康管理率、产后访视率达到国家基本公共卫生服务规范要求</w:t>
            </w:r>
            <w:r>
              <w:rPr>
                <w:rFonts w:ascii="宋体" w:hAnsi="宋体" w:cs="宋体"/>
                <w:kern w:val="0"/>
                <w:szCs w:val="21"/>
              </w:rPr>
              <w:t>。</w:t>
            </w:r>
          </w:p>
          <w:p w14:paraId="091CB10C">
            <w:pPr>
              <w:widowControl/>
              <w:jc w:val="center"/>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cs="宋体"/>
                <w:kern w:val="0"/>
                <w:szCs w:val="21"/>
              </w:rPr>
              <w:t>早孕建册率≥85%，得</w:t>
            </w:r>
            <w:r>
              <w:rPr>
                <w:rFonts w:ascii="宋体" w:hAnsi="宋体" w:cs="宋体"/>
                <w:kern w:val="0"/>
                <w:szCs w:val="21"/>
              </w:rPr>
              <w:t>1</w:t>
            </w:r>
            <w:r>
              <w:rPr>
                <w:rFonts w:hint="eastAsia" w:ascii="宋体" w:hAnsi="宋体" w:cs="宋体"/>
                <w:kern w:val="0"/>
                <w:szCs w:val="21"/>
              </w:rPr>
              <w:t>分；</w:t>
            </w:r>
          </w:p>
          <w:p w14:paraId="4C143D7C">
            <w:pPr>
              <w:widowControl/>
              <w:jc w:val="center"/>
              <w:rPr>
                <w:rFonts w:hint="eastAsia" w:ascii="宋体" w:hAnsi="宋体" w:cs="宋体"/>
                <w:kern w:val="0"/>
                <w:szCs w:val="21"/>
              </w:rPr>
            </w:pPr>
            <w:r>
              <w:rPr>
                <w:rFonts w:hint="eastAsia" w:ascii="宋体" w:hAnsi="宋体" w:cs="宋体"/>
                <w:kern w:val="0"/>
                <w:szCs w:val="21"/>
              </w:rPr>
              <w:t>不达标者得分=早孕建册率/85%×</w:t>
            </w:r>
            <w:r>
              <w:rPr>
                <w:rFonts w:ascii="宋体" w:hAnsi="宋体" w:cs="宋体"/>
                <w:kern w:val="0"/>
                <w:szCs w:val="21"/>
              </w:rPr>
              <w:t>1</w:t>
            </w:r>
            <w:r>
              <w:rPr>
                <w:rFonts w:hint="eastAsia" w:ascii="宋体" w:hAnsi="宋体" w:cs="宋体"/>
                <w:kern w:val="0"/>
                <w:szCs w:val="21"/>
              </w:rPr>
              <w:t>分。</w:t>
            </w:r>
          </w:p>
          <w:p w14:paraId="5E552F93">
            <w:pPr>
              <w:widowControl/>
              <w:jc w:val="center"/>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rPr>
              <w:t>产前健康管理率≥85%，得2分；</w:t>
            </w:r>
          </w:p>
          <w:p w14:paraId="066E1300">
            <w:pPr>
              <w:widowControl/>
              <w:jc w:val="center"/>
              <w:rPr>
                <w:rFonts w:hint="eastAsia" w:ascii="宋体" w:hAnsi="宋体" w:cs="宋体"/>
                <w:kern w:val="0"/>
                <w:szCs w:val="21"/>
              </w:rPr>
            </w:pPr>
            <w:r>
              <w:rPr>
                <w:rFonts w:hint="eastAsia" w:ascii="宋体" w:hAnsi="宋体" w:cs="宋体"/>
                <w:kern w:val="0"/>
                <w:szCs w:val="21"/>
              </w:rPr>
              <w:t>不达标者得分=抽查的产前健康管理率/85%×2分。</w:t>
            </w:r>
          </w:p>
          <w:p w14:paraId="20B1D166">
            <w:pPr>
              <w:widowControl/>
              <w:jc w:val="center"/>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3</w:t>
            </w:r>
            <w:r>
              <w:rPr>
                <w:rFonts w:hint="eastAsia" w:ascii="宋体" w:hAnsi="宋体" w:cs="宋体"/>
                <w:kern w:val="0"/>
                <w:szCs w:val="21"/>
                <w:lang w:eastAsia="zh-CN"/>
              </w:rPr>
              <w:t>）</w:t>
            </w:r>
            <w:r>
              <w:rPr>
                <w:rFonts w:hint="eastAsia" w:ascii="宋体" w:hAnsi="宋体" w:cs="宋体"/>
                <w:kern w:val="0"/>
                <w:szCs w:val="21"/>
              </w:rPr>
              <w:t>产后访视率≥85%，得2分；</w:t>
            </w:r>
          </w:p>
          <w:p w14:paraId="1863710A">
            <w:pPr>
              <w:widowControl/>
              <w:jc w:val="center"/>
              <w:rPr>
                <w:rFonts w:hint="eastAsia" w:ascii="宋体" w:hAnsi="宋体" w:cs="宋体"/>
                <w:kern w:val="0"/>
                <w:szCs w:val="21"/>
              </w:rPr>
            </w:pPr>
            <w:r>
              <w:rPr>
                <w:rFonts w:hint="eastAsia" w:ascii="宋体" w:hAnsi="宋体" w:cs="宋体"/>
                <w:kern w:val="0"/>
                <w:szCs w:val="21"/>
              </w:rPr>
              <w:t>不达标者得分=抽查的产后访视率/85%×2分。</w:t>
            </w:r>
          </w:p>
        </w:tc>
        <w:tc>
          <w:tcPr>
            <w:tcW w:w="2334" w:type="dxa"/>
            <w:vAlign w:val="center"/>
          </w:tcPr>
          <w:p w14:paraId="5F60868A">
            <w:pPr>
              <w:widowControl/>
              <w:jc w:val="center"/>
              <w:rPr>
                <w:rFonts w:hint="eastAsia" w:ascii="宋体" w:hAnsi="宋体" w:cs="宋体"/>
                <w:kern w:val="0"/>
                <w:szCs w:val="21"/>
              </w:rPr>
            </w:pPr>
            <w:r>
              <w:rPr>
                <w:rFonts w:hint="eastAsia" w:ascii="宋体" w:hAnsi="宋体" w:cs="宋体"/>
                <w:kern w:val="0"/>
                <w:szCs w:val="21"/>
              </w:rPr>
              <w:t>妇幼处提供考核结果。</w:t>
            </w:r>
          </w:p>
        </w:tc>
      </w:tr>
      <w:tr w14:paraId="69FE2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5508018D">
            <w:pPr>
              <w:widowControl/>
              <w:jc w:val="center"/>
              <w:rPr>
                <w:rFonts w:ascii="宋体" w:hAnsi="宋体" w:cs="宋体"/>
                <w:kern w:val="0"/>
                <w:szCs w:val="21"/>
              </w:rPr>
            </w:pPr>
          </w:p>
        </w:tc>
        <w:tc>
          <w:tcPr>
            <w:tcW w:w="994" w:type="dxa"/>
            <w:vMerge w:val="continue"/>
            <w:vAlign w:val="center"/>
          </w:tcPr>
          <w:p w14:paraId="05C3CFCB">
            <w:pPr>
              <w:widowControl/>
              <w:jc w:val="center"/>
              <w:rPr>
                <w:rFonts w:hint="eastAsia" w:ascii="宋体" w:hAnsi="宋体" w:cs="宋体"/>
                <w:kern w:val="0"/>
                <w:szCs w:val="21"/>
              </w:rPr>
            </w:pPr>
          </w:p>
        </w:tc>
        <w:tc>
          <w:tcPr>
            <w:tcW w:w="1134" w:type="dxa"/>
            <w:vMerge w:val="continue"/>
            <w:vAlign w:val="center"/>
          </w:tcPr>
          <w:p w14:paraId="6755FFE5">
            <w:pPr>
              <w:widowControl/>
              <w:jc w:val="center"/>
              <w:rPr>
                <w:rFonts w:hint="eastAsia" w:ascii="宋体" w:hAnsi="宋体" w:cs="宋体"/>
                <w:kern w:val="0"/>
                <w:szCs w:val="21"/>
              </w:rPr>
            </w:pPr>
          </w:p>
        </w:tc>
        <w:tc>
          <w:tcPr>
            <w:tcW w:w="708" w:type="dxa"/>
            <w:vAlign w:val="center"/>
          </w:tcPr>
          <w:p w14:paraId="6EA6CE59">
            <w:pPr>
              <w:widowControl/>
              <w:jc w:val="center"/>
              <w:rPr>
                <w:rFonts w:hint="eastAsia" w:ascii="宋体" w:hAnsi="宋体" w:cs="宋体"/>
                <w:kern w:val="0"/>
                <w:szCs w:val="21"/>
              </w:rPr>
            </w:pPr>
            <w:r>
              <w:rPr>
                <w:rFonts w:hint="eastAsia" w:ascii="宋体" w:hAnsi="宋体" w:cs="宋体"/>
                <w:kern w:val="0"/>
                <w:szCs w:val="21"/>
              </w:rPr>
              <w:t>5</w:t>
            </w:r>
          </w:p>
        </w:tc>
        <w:tc>
          <w:tcPr>
            <w:tcW w:w="7892" w:type="dxa"/>
            <w:vAlign w:val="center"/>
          </w:tcPr>
          <w:p w14:paraId="259FFBA3">
            <w:pPr>
              <w:widowControl/>
              <w:numPr>
                <w:ilvl w:val="0"/>
                <w:numId w:val="4"/>
              </w:numPr>
              <w:jc w:val="center"/>
              <w:rPr>
                <w:rFonts w:hint="eastAsia" w:ascii="宋体" w:hAnsi="宋体" w:cs="Arial"/>
                <w:szCs w:val="21"/>
                <w:shd w:val="clear" w:color="auto" w:fill="FFFFFF"/>
              </w:rPr>
            </w:pPr>
            <w:r>
              <w:rPr>
                <w:rFonts w:ascii="宋体" w:hAnsi="宋体" w:cs="Arial"/>
                <w:szCs w:val="21"/>
                <w:shd w:val="clear" w:color="auto" w:fill="FFFFFF"/>
              </w:rPr>
              <w:t>老年人健康管理</w:t>
            </w:r>
            <w:r>
              <w:rPr>
                <w:rFonts w:hint="eastAsia" w:ascii="宋体" w:hAnsi="宋体" w:cs="Arial"/>
                <w:szCs w:val="21"/>
                <w:shd w:val="clear" w:color="auto" w:fill="FFFFFF"/>
              </w:rPr>
              <w:t>。</w:t>
            </w:r>
          </w:p>
          <w:p w14:paraId="1DD14999">
            <w:pPr>
              <w:widowControl/>
              <w:numPr>
                <w:ilvl w:val="0"/>
                <w:numId w:val="0"/>
              </w:numPr>
              <w:jc w:val="center"/>
              <w:rPr>
                <w:rFonts w:hint="eastAsia" w:ascii="宋体" w:hAnsi="宋体" w:cs="Arial"/>
                <w:szCs w:val="21"/>
                <w:shd w:val="clear" w:color="auto" w:fill="FFFFFF"/>
              </w:rPr>
            </w:pPr>
            <w:r>
              <w:rPr>
                <w:rFonts w:hint="eastAsia" w:ascii="宋体" w:hAnsi="宋体" w:cs="Arial"/>
                <w:szCs w:val="21"/>
                <w:shd w:val="clear" w:color="auto" w:fill="FFFFFF"/>
              </w:rPr>
              <w:t xml:space="preserve">当老年人健康管理率≥ </w:t>
            </w:r>
            <w:r>
              <w:rPr>
                <w:rFonts w:hint="eastAsia" w:ascii="宋体" w:hAnsi="宋体" w:cs="Arial"/>
                <w:szCs w:val="21"/>
                <w:shd w:val="clear" w:color="auto" w:fill="FFFFFF"/>
                <w:lang w:eastAsia="zh-CN"/>
              </w:rPr>
              <w:t>6</w:t>
            </w:r>
            <w:r>
              <w:rPr>
                <w:rFonts w:hint="eastAsia" w:ascii="宋体" w:hAnsi="宋体" w:cs="Arial"/>
                <w:szCs w:val="21"/>
                <w:shd w:val="clear" w:color="auto" w:fill="FFFFFF"/>
                <w:lang w:val="en-US" w:eastAsia="zh-CN"/>
              </w:rPr>
              <w:t>9</w:t>
            </w:r>
            <w:r>
              <w:rPr>
                <w:rFonts w:hint="eastAsia" w:ascii="宋体" w:hAnsi="宋体" w:cs="Arial"/>
                <w:szCs w:val="21"/>
                <w:shd w:val="clear" w:color="auto" w:fill="FFFFFF"/>
              </w:rPr>
              <w:t>%时，得分为[0.9+（本区 65 岁以上老年人健康管理率-各区 65 岁以上老年人健康管理率达标最小值）/（各区 65 岁以上老年人健康管理率达标最大值-各区 65 岁以上老年人健康管理率达标最小值）×0.1]×</w:t>
            </w:r>
            <w:r>
              <w:rPr>
                <w:rFonts w:hint="eastAsia" w:ascii="Arial" w:hAnsi="Arial" w:cs="Arial"/>
                <w:szCs w:val="21"/>
                <w:shd w:val="clear" w:color="auto" w:fill="FFFFFF"/>
                <w:lang w:val="en-US" w:eastAsia="zh-CN"/>
              </w:rPr>
              <w:t>5</w:t>
            </w:r>
          </w:p>
          <w:p w14:paraId="28D98EF7">
            <w:pPr>
              <w:widowControl/>
              <w:jc w:val="center"/>
              <w:rPr>
                <w:rFonts w:hint="eastAsia" w:ascii="宋体" w:hAnsi="宋体" w:cs="Arial"/>
                <w:szCs w:val="21"/>
                <w:shd w:val="clear" w:color="auto" w:fill="FFFFFF"/>
              </w:rPr>
            </w:pPr>
            <w:r>
              <w:rPr>
                <w:rFonts w:hint="eastAsia" w:ascii="宋体" w:hAnsi="宋体" w:cs="Arial"/>
                <w:szCs w:val="21"/>
                <w:shd w:val="clear" w:color="auto" w:fill="FFFFFF"/>
              </w:rPr>
              <w:t>当老年人健康管理率&lt;</w:t>
            </w:r>
            <w:r>
              <w:rPr>
                <w:rFonts w:hint="eastAsia" w:ascii="宋体" w:hAnsi="宋体" w:cs="Arial"/>
                <w:szCs w:val="21"/>
                <w:shd w:val="clear" w:color="auto" w:fill="FFFFFF"/>
                <w:lang w:eastAsia="zh-CN"/>
              </w:rPr>
              <w:t>6</w:t>
            </w:r>
            <w:r>
              <w:rPr>
                <w:rFonts w:hint="eastAsia" w:ascii="宋体" w:hAnsi="宋体" w:cs="Arial"/>
                <w:szCs w:val="21"/>
                <w:shd w:val="clear" w:color="auto" w:fill="FFFFFF"/>
                <w:lang w:val="en-US" w:eastAsia="zh-CN"/>
              </w:rPr>
              <w:t>9</w:t>
            </w:r>
            <w:r>
              <w:rPr>
                <w:rFonts w:hint="eastAsia" w:ascii="宋体" w:hAnsi="宋体" w:cs="Arial"/>
                <w:szCs w:val="21"/>
                <w:shd w:val="clear" w:color="auto" w:fill="FFFFFF"/>
              </w:rPr>
              <w:t>%时，得分为（本区 65 岁以上老年人健康管理率/各区 65 岁以上老年人健康管理率最大值）×0.8×</w:t>
            </w:r>
            <w:r>
              <w:rPr>
                <w:rFonts w:hint="eastAsia" w:ascii="Arial" w:hAnsi="Arial" w:cs="Arial"/>
                <w:szCs w:val="21"/>
                <w:shd w:val="clear" w:color="auto" w:fill="FFFFFF"/>
                <w:lang w:val="en-US" w:eastAsia="zh-CN"/>
              </w:rPr>
              <w:t>5</w:t>
            </w:r>
          </w:p>
          <w:p w14:paraId="0C414A3D">
            <w:pPr>
              <w:widowControl/>
              <w:jc w:val="center"/>
              <w:rPr>
                <w:rFonts w:hint="eastAsia" w:ascii="宋体" w:hAnsi="宋体" w:cs="Arial"/>
                <w:szCs w:val="21"/>
                <w:shd w:val="clear" w:color="auto" w:fill="FFFFFF"/>
              </w:rPr>
            </w:pPr>
            <w:r>
              <w:rPr>
                <w:rFonts w:hint="eastAsia" w:ascii="宋体" w:hAnsi="宋体" w:cs="Arial"/>
                <w:szCs w:val="21"/>
                <w:shd w:val="clear" w:color="auto" w:fill="FFFFFF"/>
              </w:rPr>
              <w:t>老年人健康管理率=65 岁及以上接受健康管理人数/65 岁及以上常住人口数×100%</w:t>
            </w:r>
          </w:p>
        </w:tc>
        <w:tc>
          <w:tcPr>
            <w:tcW w:w="2334" w:type="dxa"/>
            <w:vAlign w:val="center"/>
          </w:tcPr>
          <w:p w14:paraId="57A7B9CD">
            <w:pPr>
              <w:widowControl/>
              <w:jc w:val="center"/>
              <w:rPr>
                <w:rFonts w:hint="eastAsia" w:ascii="宋体" w:hAnsi="宋体" w:cs="宋体"/>
                <w:kern w:val="0"/>
                <w:szCs w:val="21"/>
              </w:rPr>
            </w:pPr>
            <w:r>
              <w:rPr>
                <w:rFonts w:hint="eastAsia" w:ascii="宋体" w:hAnsi="宋体" w:cs="宋体"/>
                <w:kern w:val="0"/>
                <w:szCs w:val="21"/>
              </w:rPr>
              <w:t>老龄处提供考核结果。</w:t>
            </w:r>
          </w:p>
        </w:tc>
      </w:tr>
      <w:tr w14:paraId="29024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72EE522A">
            <w:pPr>
              <w:widowControl/>
              <w:jc w:val="center"/>
              <w:rPr>
                <w:rFonts w:ascii="宋体" w:hAnsi="宋体" w:cs="宋体"/>
                <w:kern w:val="0"/>
                <w:szCs w:val="21"/>
              </w:rPr>
            </w:pPr>
          </w:p>
        </w:tc>
        <w:tc>
          <w:tcPr>
            <w:tcW w:w="994" w:type="dxa"/>
            <w:vMerge w:val="continue"/>
            <w:vAlign w:val="center"/>
          </w:tcPr>
          <w:p w14:paraId="449E80DE">
            <w:pPr>
              <w:widowControl/>
              <w:jc w:val="center"/>
              <w:rPr>
                <w:rFonts w:hint="eastAsia" w:ascii="宋体" w:hAnsi="宋体" w:cs="宋体"/>
                <w:kern w:val="0"/>
                <w:szCs w:val="21"/>
              </w:rPr>
            </w:pPr>
          </w:p>
        </w:tc>
        <w:tc>
          <w:tcPr>
            <w:tcW w:w="1134" w:type="dxa"/>
            <w:vMerge w:val="continue"/>
            <w:vAlign w:val="center"/>
          </w:tcPr>
          <w:p w14:paraId="77095385">
            <w:pPr>
              <w:widowControl/>
              <w:jc w:val="center"/>
              <w:rPr>
                <w:rFonts w:hint="eastAsia" w:ascii="宋体" w:hAnsi="宋体" w:cs="宋体"/>
                <w:kern w:val="0"/>
                <w:szCs w:val="21"/>
              </w:rPr>
            </w:pPr>
          </w:p>
        </w:tc>
        <w:tc>
          <w:tcPr>
            <w:tcW w:w="708" w:type="dxa"/>
            <w:vAlign w:val="center"/>
          </w:tcPr>
          <w:p w14:paraId="6EAD10B3">
            <w:pPr>
              <w:widowControl/>
              <w:jc w:val="center"/>
              <w:rPr>
                <w:rFonts w:hint="eastAsia" w:ascii="宋体" w:hAnsi="宋体" w:cs="宋体"/>
                <w:kern w:val="0"/>
                <w:szCs w:val="21"/>
              </w:rPr>
            </w:pPr>
            <w:r>
              <w:rPr>
                <w:rFonts w:hint="eastAsia" w:ascii="宋体" w:hAnsi="宋体" w:cs="宋体"/>
                <w:kern w:val="0"/>
                <w:szCs w:val="21"/>
              </w:rPr>
              <w:t>6</w:t>
            </w:r>
          </w:p>
        </w:tc>
        <w:tc>
          <w:tcPr>
            <w:tcW w:w="7892" w:type="dxa"/>
            <w:vAlign w:val="center"/>
          </w:tcPr>
          <w:p w14:paraId="7B815205">
            <w:pPr>
              <w:widowControl/>
              <w:numPr>
                <w:ilvl w:val="0"/>
                <w:numId w:val="5"/>
              </w:numPr>
              <w:jc w:val="center"/>
              <w:rPr>
                <w:rFonts w:hint="eastAsia" w:ascii="宋体" w:hAnsi="宋体" w:cs="宋体"/>
                <w:szCs w:val="21"/>
                <w:shd w:val="clear" w:color="auto" w:fill="FFFFFF"/>
              </w:rPr>
            </w:pPr>
            <w:r>
              <w:rPr>
                <w:rFonts w:hint="eastAsia" w:ascii="宋体" w:hAnsi="宋体" w:cs="宋体"/>
                <w:szCs w:val="21"/>
                <w:shd w:val="clear" w:color="auto" w:fill="FFFFFF"/>
              </w:rPr>
              <w:t>慢性病患者健康管理</w:t>
            </w:r>
          </w:p>
          <w:p w14:paraId="76A68336">
            <w:pPr>
              <w:widowControl/>
              <w:jc w:val="center"/>
              <w:rPr>
                <w:rFonts w:hint="eastAsia" w:ascii="宋体" w:hAnsi="宋体" w:cs="宋体"/>
                <w:kern w:val="0"/>
                <w:szCs w:val="21"/>
              </w:rPr>
            </w:pPr>
            <w:r>
              <w:rPr>
                <w:rFonts w:hint="eastAsia" w:ascii="宋体" w:hAnsi="宋体" w:cs="宋体"/>
                <w:kern w:val="0"/>
                <w:szCs w:val="21"/>
              </w:rPr>
              <w:t>高血压患者健康管理（3分）:</w:t>
            </w:r>
          </w:p>
          <w:p w14:paraId="6121134A">
            <w:pPr>
              <w:widowControl/>
              <w:jc w:val="center"/>
              <w:rPr>
                <w:rFonts w:hint="eastAsia" w:ascii="宋体" w:hAnsi="宋体" w:cs="宋体"/>
                <w:kern w:val="0"/>
                <w:szCs w:val="21"/>
              </w:rPr>
            </w:pPr>
            <w:r>
              <w:rPr>
                <w:rFonts w:hint="eastAsia" w:ascii="宋体" w:hAnsi="宋体" w:cs="宋体"/>
                <w:kern w:val="0"/>
                <w:szCs w:val="21"/>
              </w:rPr>
              <w:t>（1）高血压分配任务完成情况（1分）：区级年内管理高血压人数≥市级分配任务，得满分；＜市级分配任务，得0分。</w:t>
            </w:r>
          </w:p>
          <w:p w14:paraId="6E9771EF">
            <w:pPr>
              <w:widowControl/>
              <w:jc w:val="center"/>
              <w:rPr>
                <w:rFonts w:hint="eastAsia" w:ascii="宋体" w:hAnsi="宋体" w:cs="宋体"/>
                <w:kern w:val="0"/>
                <w:szCs w:val="21"/>
              </w:rPr>
            </w:pPr>
            <w:r>
              <w:rPr>
                <w:rFonts w:hint="eastAsia" w:ascii="宋体" w:hAnsi="宋体" w:cs="宋体"/>
                <w:kern w:val="0"/>
                <w:szCs w:val="21"/>
              </w:rPr>
              <w:t>（2）高血压患者规范管理率（2分）=规范管理人数/管理人数</w:t>
            </w:r>
            <w:r>
              <w:rPr>
                <w:rFonts w:hint="eastAsia" w:ascii="宋体" w:hAnsi="宋体" w:cs="Arial"/>
                <w:szCs w:val="21"/>
                <w:shd w:val="clear" w:color="auto" w:fill="FFFFFF"/>
              </w:rPr>
              <w:t>×100%</w:t>
            </w:r>
            <w:r>
              <w:rPr>
                <w:rFonts w:hint="eastAsia" w:ascii="宋体" w:hAnsi="宋体" w:cs="宋体"/>
                <w:kern w:val="0"/>
                <w:szCs w:val="21"/>
              </w:rPr>
              <w:t>，≥60%，得满分；＜60%，按比例得分。</w:t>
            </w:r>
          </w:p>
          <w:p w14:paraId="43F00E19">
            <w:pPr>
              <w:widowControl/>
              <w:jc w:val="center"/>
              <w:rPr>
                <w:rFonts w:hint="eastAsia" w:ascii="宋体" w:hAnsi="宋体" w:cs="宋体"/>
                <w:kern w:val="0"/>
                <w:szCs w:val="21"/>
              </w:rPr>
            </w:pPr>
            <w:r>
              <w:rPr>
                <w:rFonts w:hint="eastAsia" w:ascii="宋体" w:hAnsi="宋体" w:cs="宋体"/>
                <w:kern w:val="0"/>
                <w:szCs w:val="21"/>
              </w:rPr>
              <w:t>2型糖尿病患者健康管理（3分）:</w:t>
            </w:r>
          </w:p>
          <w:p w14:paraId="17AF6BAF">
            <w:pPr>
              <w:widowControl/>
              <w:jc w:val="center"/>
              <w:rPr>
                <w:rFonts w:hint="eastAsia" w:ascii="宋体" w:hAnsi="宋体" w:cs="宋体"/>
                <w:kern w:val="0"/>
                <w:szCs w:val="21"/>
              </w:rPr>
            </w:pPr>
            <w:r>
              <w:rPr>
                <w:rFonts w:hint="eastAsia" w:ascii="宋体" w:hAnsi="宋体" w:cs="宋体"/>
                <w:kern w:val="0"/>
                <w:szCs w:val="21"/>
              </w:rPr>
              <w:t>（1）糖尿病分配任务完成情况（1分）：区级年内管理2型糖尿病人数≥市级分配任务，得满分；＜市级分配任务，得0分。</w:t>
            </w:r>
          </w:p>
          <w:p w14:paraId="6A28532C">
            <w:pPr>
              <w:widowControl/>
              <w:jc w:val="center"/>
              <w:rPr>
                <w:rFonts w:hint="eastAsia" w:ascii="宋体" w:hAnsi="宋体" w:cs="宋体"/>
                <w:szCs w:val="21"/>
                <w:shd w:val="clear" w:color="auto" w:fill="FFFFFF"/>
              </w:rPr>
            </w:pPr>
            <w:r>
              <w:rPr>
                <w:rFonts w:hint="eastAsia" w:ascii="宋体" w:hAnsi="宋体" w:cs="宋体"/>
                <w:kern w:val="0"/>
                <w:szCs w:val="21"/>
              </w:rPr>
              <w:t>（2）2型糖尿病患者规范管理率=规范管理人数/管理人数（2分）</w:t>
            </w:r>
            <w:r>
              <w:rPr>
                <w:rFonts w:hint="eastAsia" w:ascii="宋体" w:hAnsi="宋体" w:cs="Arial"/>
                <w:szCs w:val="21"/>
                <w:shd w:val="clear" w:color="auto" w:fill="FFFFFF"/>
              </w:rPr>
              <w:t>×100%</w:t>
            </w:r>
            <w:r>
              <w:rPr>
                <w:rFonts w:hint="eastAsia" w:ascii="宋体" w:hAnsi="宋体" w:cs="宋体"/>
                <w:kern w:val="0"/>
                <w:szCs w:val="21"/>
              </w:rPr>
              <w:t>，≥60%，得满分；＜60%，按比例得分。</w:t>
            </w:r>
          </w:p>
        </w:tc>
        <w:tc>
          <w:tcPr>
            <w:tcW w:w="2334" w:type="dxa"/>
            <w:vAlign w:val="center"/>
          </w:tcPr>
          <w:p w14:paraId="48F7C5FD">
            <w:pPr>
              <w:widowControl/>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340FC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2A266ADD">
            <w:pPr>
              <w:widowControl/>
              <w:jc w:val="center"/>
              <w:rPr>
                <w:rFonts w:ascii="宋体" w:hAnsi="宋体" w:cs="宋体"/>
                <w:kern w:val="0"/>
                <w:szCs w:val="21"/>
              </w:rPr>
            </w:pPr>
          </w:p>
        </w:tc>
        <w:tc>
          <w:tcPr>
            <w:tcW w:w="994" w:type="dxa"/>
            <w:vMerge w:val="continue"/>
            <w:vAlign w:val="center"/>
          </w:tcPr>
          <w:p w14:paraId="44D34D07">
            <w:pPr>
              <w:widowControl/>
              <w:jc w:val="center"/>
              <w:rPr>
                <w:rFonts w:hint="eastAsia" w:ascii="宋体" w:hAnsi="宋体" w:cs="宋体"/>
                <w:kern w:val="0"/>
                <w:szCs w:val="21"/>
              </w:rPr>
            </w:pPr>
          </w:p>
        </w:tc>
        <w:tc>
          <w:tcPr>
            <w:tcW w:w="1134" w:type="dxa"/>
            <w:vMerge w:val="continue"/>
            <w:vAlign w:val="center"/>
          </w:tcPr>
          <w:p w14:paraId="50502825">
            <w:pPr>
              <w:widowControl/>
              <w:jc w:val="center"/>
              <w:rPr>
                <w:rFonts w:hint="eastAsia" w:ascii="宋体" w:hAnsi="宋体" w:cs="宋体"/>
                <w:kern w:val="0"/>
                <w:szCs w:val="21"/>
              </w:rPr>
            </w:pPr>
          </w:p>
        </w:tc>
        <w:tc>
          <w:tcPr>
            <w:tcW w:w="708" w:type="dxa"/>
            <w:vAlign w:val="center"/>
          </w:tcPr>
          <w:p w14:paraId="7F295645">
            <w:pPr>
              <w:widowControl/>
              <w:jc w:val="center"/>
              <w:rPr>
                <w:rFonts w:hint="eastAsia" w:ascii="宋体" w:hAnsi="宋体" w:cs="宋体"/>
                <w:kern w:val="0"/>
                <w:szCs w:val="21"/>
              </w:rPr>
            </w:pPr>
            <w:r>
              <w:rPr>
                <w:rFonts w:hint="eastAsia" w:ascii="宋体" w:hAnsi="宋体" w:cs="宋体"/>
                <w:kern w:val="0"/>
                <w:szCs w:val="21"/>
              </w:rPr>
              <w:t>3</w:t>
            </w:r>
          </w:p>
        </w:tc>
        <w:tc>
          <w:tcPr>
            <w:tcW w:w="7892" w:type="dxa"/>
            <w:vAlign w:val="center"/>
          </w:tcPr>
          <w:p w14:paraId="515942A7">
            <w:pPr>
              <w:widowControl/>
              <w:jc w:val="center"/>
              <w:rPr>
                <w:rFonts w:ascii="宋体" w:hAnsi="宋体" w:cs="Arial"/>
                <w:szCs w:val="21"/>
                <w:shd w:val="clear" w:color="auto" w:fill="FFFFFF"/>
              </w:rPr>
            </w:pPr>
            <w:r>
              <w:rPr>
                <w:rFonts w:hint="eastAsia" w:ascii="宋体" w:hAnsi="宋体" w:cs="Arial"/>
                <w:szCs w:val="21"/>
                <w:shd w:val="clear" w:color="auto" w:fill="FFFFFF"/>
              </w:rPr>
              <w:t>8</w:t>
            </w:r>
            <w:r>
              <w:rPr>
                <w:rFonts w:ascii="宋体" w:hAnsi="宋体" w:cs="Arial"/>
                <w:szCs w:val="21"/>
                <w:shd w:val="clear" w:color="auto" w:fill="FFFFFF"/>
              </w:rPr>
              <w:t>.严重精神障碍患者管理</w:t>
            </w:r>
            <w:r>
              <w:rPr>
                <w:rFonts w:hint="eastAsia" w:ascii="宋体" w:hAnsi="宋体" w:cs="Arial"/>
                <w:szCs w:val="21"/>
                <w:shd w:val="clear" w:color="auto" w:fill="FFFFFF"/>
              </w:rPr>
              <w:t>。</w:t>
            </w:r>
          </w:p>
          <w:p w14:paraId="7AC778B2">
            <w:pPr>
              <w:widowControl/>
              <w:jc w:val="center"/>
              <w:rPr>
                <w:rFonts w:ascii="宋体" w:hAnsi="宋体" w:cs="Arial"/>
                <w:szCs w:val="21"/>
                <w:shd w:val="clear" w:color="auto" w:fill="FFFFFF"/>
              </w:rPr>
            </w:pPr>
            <w:r>
              <w:rPr>
                <w:rFonts w:hint="eastAsia" w:ascii="宋体" w:hAnsi="宋体" w:cs="Arial"/>
                <w:szCs w:val="21"/>
                <w:shd w:val="clear" w:color="auto" w:fill="FFFFFF"/>
              </w:rPr>
              <w:t>（1）严重精神障碍患者</w:t>
            </w:r>
            <w:r>
              <w:rPr>
                <w:rFonts w:ascii="宋体" w:hAnsi="宋体" w:cs="Arial"/>
                <w:szCs w:val="21"/>
                <w:shd w:val="clear" w:color="auto" w:fill="FFFFFF"/>
              </w:rPr>
              <w:t>报告患病率</w:t>
            </w:r>
            <w:r>
              <w:rPr>
                <w:rFonts w:hint="eastAsia" w:ascii="宋体" w:hAnsi="宋体" w:cs="Arial"/>
                <w:szCs w:val="21"/>
                <w:shd w:val="clear" w:color="auto" w:fill="FFFFFF"/>
              </w:rPr>
              <w:t>（1分）</w:t>
            </w:r>
          </w:p>
          <w:p w14:paraId="29C799D4">
            <w:pPr>
              <w:widowControl/>
              <w:jc w:val="center"/>
              <w:rPr>
                <w:rFonts w:ascii="宋体" w:hAnsi="宋体" w:cs="Arial"/>
                <w:szCs w:val="21"/>
                <w:shd w:val="clear" w:color="auto" w:fill="FFFFFF"/>
              </w:rPr>
            </w:pPr>
            <w:r>
              <w:rPr>
                <w:rFonts w:hint="eastAsia" w:ascii="宋体" w:hAnsi="宋体" w:cs="Arial"/>
                <w:szCs w:val="21"/>
                <w:shd w:val="clear" w:color="auto" w:fill="FFFFFF"/>
              </w:rPr>
              <w:t>报告患病率=在册患者人数/辖区内常住人口数×1000‰</w:t>
            </w:r>
          </w:p>
          <w:p w14:paraId="009BD24B">
            <w:pPr>
              <w:widowControl/>
              <w:jc w:val="center"/>
              <w:rPr>
                <w:rFonts w:hint="eastAsia" w:ascii="宋体" w:hAnsi="宋体" w:cs="Arial"/>
                <w:szCs w:val="21"/>
                <w:shd w:val="clear" w:color="auto" w:fill="FFFFFF"/>
              </w:rPr>
            </w:pPr>
            <w:r>
              <w:rPr>
                <w:rFonts w:hint="eastAsia" w:ascii="宋体" w:hAnsi="宋体" w:cs="宋体"/>
                <w:kern w:val="0"/>
                <w:szCs w:val="21"/>
              </w:rPr>
              <w:t>①≥4‰，</w:t>
            </w:r>
            <w:r>
              <w:rPr>
                <w:rFonts w:ascii="宋体" w:hAnsi="宋体" w:cs="宋体"/>
                <w:kern w:val="0"/>
                <w:szCs w:val="21"/>
              </w:rPr>
              <w:t>得满分；</w:t>
            </w:r>
            <w:r>
              <w:rPr>
                <w:rFonts w:hint="eastAsia" w:ascii="宋体" w:hAnsi="宋体" w:cs="宋体"/>
                <w:kern w:val="0"/>
                <w:szCs w:val="21"/>
              </w:rPr>
              <w:t>②＜4‰，</w:t>
            </w:r>
            <w:r>
              <w:rPr>
                <w:rFonts w:ascii="宋体" w:hAnsi="宋体" w:cs="宋体"/>
                <w:kern w:val="0"/>
                <w:szCs w:val="21"/>
              </w:rPr>
              <w:t>按比例扣分</w:t>
            </w:r>
          </w:p>
          <w:p w14:paraId="77398065">
            <w:pPr>
              <w:widowControl/>
              <w:jc w:val="center"/>
              <w:rPr>
                <w:rFonts w:ascii="宋体" w:hAnsi="宋体" w:cs="Arial"/>
                <w:szCs w:val="21"/>
                <w:shd w:val="clear" w:color="auto" w:fill="FFFFFF"/>
              </w:rPr>
            </w:pPr>
            <w:r>
              <w:rPr>
                <w:rFonts w:hint="eastAsia" w:ascii="宋体" w:hAnsi="宋体" w:cs="Arial"/>
                <w:szCs w:val="21"/>
                <w:shd w:val="clear" w:color="auto" w:fill="FFFFFF"/>
              </w:rPr>
              <w:t>（</w:t>
            </w:r>
            <w:r>
              <w:rPr>
                <w:rFonts w:ascii="宋体" w:hAnsi="宋体" w:cs="Arial"/>
                <w:szCs w:val="21"/>
                <w:shd w:val="clear" w:color="auto" w:fill="FFFFFF"/>
              </w:rPr>
              <w:t>2</w:t>
            </w:r>
            <w:r>
              <w:rPr>
                <w:rFonts w:hint="eastAsia" w:ascii="宋体" w:hAnsi="宋体" w:cs="Arial"/>
                <w:szCs w:val="21"/>
                <w:shd w:val="clear" w:color="auto" w:fill="FFFFFF"/>
              </w:rPr>
              <w:t>）严重精神障碍患者</w:t>
            </w:r>
            <w:r>
              <w:rPr>
                <w:rFonts w:ascii="宋体" w:hAnsi="宋体" w:cs="Arial"/>
                <w:szCs w:val="21"/>
                <w:shd w:val="clear" w:color="auto" w:fill="FFFFFF"/>
              </w:rPr>
              <w:t>规范管理率</w:t>
            </w:r>
            <w:r>
              <w:rPr>
                <w:rFonts w:hint="eastAsia" w:ascii="宋体" w:hAnsi="宋体" w:cs="Arial"/>
                <w:szCs w:val="21"/>
                <w:shd w:val="clear" w:color="auto" w:fill="FFFFFF"/>
              </w:rPr>
              <w:t>（1分）</w:t>
            </w:r>
          </w:p>
          <w:p w14:paraId="4525701C">
            <w:pPr>
              <w:widowControl/>
              <w:jc w:val="center"/>
              <w:rPr>
                <w:rFonts w:ascii="宋体" w:hAnsi="宋体" w:cs="Arial"/>
                <w:szCs w:val="21"/>
                <w:shd w:val="clear" w:color="auto" w:fill="FFFFFF"/>
              </w:rPr>
            </w:pPr>
            <w:r>
              <w:rPr>
                <w:rFonts w:hint="eastAsia" w:ascii="宋体" w:hAnsi="宋体" w:cs="Arial"/>
                <w:szCs w:val="21"/>
                <w:shd w:val="clear" w:color="auto" w:fill="FFFFFF"/>
              </w:rPr>
              <w:t>规范管理率=规范管理人数/在册患者人数×100%</w:t>
            </w:r>
          </w:p>
          <w:p w14:paraId="3494A355">
            <w:pPr>
              <w:widowControl/>
              <w:jc w:val="center"/>
              <w:rPr>
                <w:rFonts w:hint="eastAsia" w:ascii="宋体" w:hAnsi="宋体" w:cs="Arial"/>
                <w:szCs w:val="21"/>
                <w:shd w:val="clear" w:color="auto" w:fill="FFFFFF"/>
              </w:rPr>
            </w:pPr>
            <w:r>
              <w:rPr>
                <w:rFonts w:hint="eastAsia" w:ascii="宋体" w:hAnsi="宋体" w:cs="宋体"/>
                <w:kern w:val="0"/>
                <w:szCs w:val="21"/>
              </w:rPr>
              <w:t>①≥85</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得满分；</w:t>
            </w:r>
            <w:r>
              <w:rPr>
                <w:rFonts w:hint="eastAsia" w:ascii="宋体" w:hAnsi="宋体" w:cs="宋体"/>
                <w:kern w:val="0"/>
                <w:szCs w:val="21"/>
              </w:rPr>
              <w:t>②＜85</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按比例扣分</w:t>
            </w:r>
          </w:p>
          <w:p w14:paraId="4B876B79">
            <w:pPr>
              <w:widowControl/>
              <w:jc w:val="center"/>
              <w:rPr>
                <w:rFonts w:ascii="宋体" w:hAnsi="宋体" w:cs="Arial"/>
                <w:szCs w:val="21"/>
                <w:shd w:val="clear" w:color="auto" w:fill="FFFFFF"/>
              </w:rPr>
            </w:pPr>
            <w:r>
              <w:rPr>
                <w:rFonts w:hint="eastAsia" w:ascii="宋体" w:hAnsi="宋体" w:cs="Arial"/>
                <w:szCs w:val="21"/>
                <w:shd w:val="clear" w:color="auto" w:fill="FFFFFF"/>
              </w:rPr>
              <w:t>（</w:t>
            </w:r>
            <w:r>
              <w:rPr>
                <w:rFonts w:ascii="宋体" w:hAnsi="宋体" w:cs="Arial"/>
                <w:szCs w:val="21"/>
                <w:shd w:val="clear" w:color="auto" w:fill="FFFFFF"/>
              </w:rPr>
              <w:t>3</w:t>
            </w:r>
            <w:r>
              <w:rPr>
                <w:rFonts w:hint="eastAsia" w:ascii="宋体" w:hAnsi="宋体" w:cs="Arial"/>
                <w:szCs w:val="21"/>
                <w:shd w:val="clear" w:color="auto" w:fill="FFFFFF"/>
              </w:rPr>
              <w:t>）严重精神障碍患者</w:t>
            </w:r>
            <w:r>
              <w:rPr>
                <w:rFonts w:ascii="宋体" w:hAnsi="宋体" w:cs="Arial"/>
                <w:szCs w:val="21"/>
                <w:shd w:val="clear" w:color="auto" w:fill="FFFFFF"/>
              </w:rPr>
              <w:t>面访率（</w:t>
            </w:r>
            <w:r>
              <w:rPr>
                <w:rFonts w:hint="eastAsia" w:ascii="宋体" w:hAnsi="宋体" w:cs="Arial"/>
                <w:szCs w:val="21"/>
                <w:shd w:val="clear" w:color="auto" w:fill="FFFFFF"/>
              </w:rPr>
              <w:t>0.5分</w:t>
            </w:r>
            <w:r>
              <w:rPr>
                <w:rFonts w:ascii="宋体" w:hAnsi="宋体" w:cs="Arial"/>
                <w:szCs w:val="21"/>
                <w:shd w:val="clear" w:color="auto" w:fill="FFFFFF"/>
              </w:rPr>
              <w:t>）</w:t>
            </w:r>
          </w:p>
          <w:p w14:paraId="04080EA0">
            <w:pPr>
              <w:widowControl/>
              <w:jc w:val="center"/>
              <w:rPr>
                <w:rFonts w:ascii="宋体" w:hAnsi="宋体" w:cs="Arial"/>
                <w:szCs w:val="21"/>
                <w:shd w:val="clear" w:color="auto" w:fill="FFFFFF"/>
              </w:rPr>
            </w:pPr>
            <w:r>
              <w:rPr>
                <w:rFonts w:hint="eastAsia" w:ascii="宋体" w:hAnsi="宋体" w:cs="Arial"/>
                <w:szCs w:val="21"/>
                <w:shd w:val="clear" w:color="auto" w:fill="FFFFFF"/>
              </w:rPr>
              <w:t>面访率=上下半年</w:t>
            </w:r>
            <w:r>
              <w:rPr>
                <w:rFonts w:ascii="宋体" w:hAnsi="宋体" w:cs="Arial"/>
                <w:szCs w:val="21"/>
                <w:shd w:val="clear" w:color="auto" w:fill="FFFFFF"/>
              </w:rPr>
              <w:t>各有一次面访的患者总人数</w:t>
            </w:r>
            <w:r>
              <w:rPr>
                <w:rFonts w:hint="eastAsia" w:ascii="宋体" w:hAnsi="宋体" w:cs="Arial"/>
                <w:szCs w:val="21"/>
                <w:shd w:val="clear" w:color="auto" w:fill="FFFFFF"/>
              </w:rPr>
              <w:t>/在册患者人数</w:t>
            </w:r>
          </w:p>
          <w:p w14:paraId="2F44652C">
            <w:pPr>
              <w:widowControl/>
              <w:jc w:val="center"/>
              <w:rPr>
                <w:rFonts w:hint="eastAsia" w:ascii="宋体" w:hAnsi="宋体" w:cs="Arial"/>
                <w:szCs w:val="21"/>
                <w:shd w:val="clear" w:color="auto" w:fill="FFFFFF"/>
              </w:rPr>
            </w:pPr>
            <w:r>
              <w:rPr>
                <w:rFonts w:hint="eastAsia" w:ascii="宋体" w:hAnsi="宋体" w:cs="宋体"/>
                <w:kern w:val="0"/>
                <w:szCs w:val="21"/>
              </w:rPr>
              <w:t>①≥</w:t>
            </w:r>
            <w:r>
              <w:rPr>
                <w:rFonts w:ascii="宋体" w:hAnsi="宋体" w:cs="宋体"/>
                <w:kern w:val="0"/>
                <w:szCs w:val="21"/>
              </w:rPr>
              <w:t>80%</w:t>
            </w:r>
            <w:r>
              <w:rPr>
                <w:rFonts w:hint="eastAsia" w:ascii="宋体" w:hAnsi="宋体" w:cs="宋体"/>
                <w:kern w:val="0"/>
                <w:szCs w:val="21"/>
              </w:rPr>
              <w:t>，</w:t>
            </w:r>
            <w:r>
              <w:rPr>
                <w:rFonts w:ascii="宋体" w:hAnsi="宋体" w:cs="宋体"/>
                <w:kern w:val="0"/>
                <w:szCs w:val="21"/>
              </w:rPr>
              <w:t>得满分；</w:t>
            </w:r>
            <w:r>
              <w:rPr>
                <w:rFonts w:hint="eastAsia" w:ascii="宋体" w:hAnsi="宋体" w:cs="宋体"/>
                <w:kern w:val="0"/>
                <w:szCs w:val="21"/>
              </w:rPr>
              <w:t>②＜80</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按比例扣分</w:t>
            </w:r>
          </w:p>
          <w:p w14:paraId="2683921B">
            <w:pPr>
              <w:widowControl/>
              <w:jc w:val="center"/>
              <w:rPr>
                <w:rFonts w:ascii="宋体" w:hAnsi="宋体" w:cs="Arial"/>
                <w:szCs w:val="21"/>
                <w:shd w:val="clear" w:color="auto" w:fill="FFFFFF"/>
              </w:rPr>
            </w:pPr>
            <w:r>
              <w:rPr>
                <w:rFonts w:hint="eastAsia" w:ascii="宋体" w:hAnsi="宋体" w:cs="Arial"/>
                <w:szCs w:val="21"/>
                <w:shd w:val="clear" w:color="auto" w:fill="FFFFFF"/>
              </w:rPr>
              <w:t>（</w:t>
            </w:r>
            <w:r>
              <w:rPr>
                <w:rFonts w:ascii="宋体" w:hAnsi="宋体" w:cs="Arial"/>
                <w:szCs w:val="21"/>
                <w:shd w:val="clear" w:color="auto" w:fill="FFFFFF"/>
              </w:rPr>
              <w:t>4</w:t>
            </w:r>
            <w:r>
              <w:rPr>
                <w:rFonts w:hint="eastAsia" w:ascii="宋体" w:hAnsi="宋体" w:cs="Arial"/>
                <w:szCs w:val="21"/>
                <w:shd w:val="clear" w:color="auto" w:fill="FFFFFF"/>
              </w:rPr>
              <w:t>）严重精神障碍患者</w:t>
            </w:r>
            <w:r>
              <w:rPr>
                <w:rFonts w:ascii="宋体" w:hAnsi="宋体" w:cs="Arial"/>
                <w:szCs w:val="21"/>
                <w:shd w:val="clear" w:color="auto" w:fill="FFFFFF"/>
              </w:rPr>
              <w:t>规律服药率（</w:t>
            </w:r>
            <w:r>
              <w:rPr>
                <w:rFonts w:hint="eastAsia" w:ascii="宋体" w:hAnsi="宋体" w:cs="Arial"/>
                <w:szCs w:val="21"/>
                <w:shd w:val="clear" w:color="auto" w:fill="FFFFFF"/>
              </w:rPr>
              <w:t>0.5分</w:t>
            </w:r>
            <w:r>
              <w:rPr>
                <w:rFonts w:ascii="宋体" w:hAnsi="宋体" w:cs="Arial"/>
                <w:szCs w:val="21"/>
                <w:shd w:val="clear" w:color="auto" w:fill="FFFFFF"/>
              </w:rPr>
              <w:t>）</w:t>
            </w:r>
          </w:p>
          <w:p w14:paraId="49EE972F">
            <w:pPr>
              <w:widowControl/>
              <w:jc w:val="center"/>
              <w:rPr>
                <w:rFonts w:ascii="宋体" w:hAnsi="宋体" w:cs="Arial"/>
                <w:szCs w:val="21"/>
                <w:shd w:val="clear" w:color="auto" w:fill="FFFFFF"/>
              </w:rPr>
            </w:pPr>
            <w:r>
              <w:rPr>
                <w:rFonts w:hint="eastAsia" w:ascii="宋体" w:hAnsi="宋体" w:cs="Arial"/>
                <w:szCs w:val="21"/>
                <w:shd w:val="clear" w:color="auto" w:fill="FFFFFF"/>
              </w:rPr>
              <w:t>规律服药率</w:t>
            </w:r>
            <w:r>
              <w:rPr>
                <w:rFonts w:ascii="宋体" w:hAnsi="宋体" w:cs="Arial"/>
                <w:szCs w:val="21"/>
                <w:shd w:val="clear" w:color="auto" w:fill="FFFFFF"/>
              </w:rPr>
              <w:t>=</w:t>
            </w:r>
            <w:r>
              <w:rPr>
                <w:rFonts w:hint="eastAsia" w:ascii="宋体" w:hAnsi="宋体" w:cs="Arial"/>
                <w:szCs w:val="21"/>
                <w:shd w:val="clear" w:color="auto" w:fill="FFFFFF"/>
              </w:rPr>
              <w:t>规律服药患者人数/在册患者人数×100%</w:t>
            </w:r>
          </w:p>
          <w:p w14:paraId="5F3F4C59">
            <w:pPr>
              <w:widowControl/>
              <w:jc w:val="center"/>
              <w:rPr>
                <w:rFonts w:hint="eastAsia" w:ascii="宋体" w:hAnsi="宋体" w:cs="Arial"/>
                <w:szCs w:val="21"/>
                <w:shd w:val="clear" w:color="auto" w:fill="FFFFFF"/>
              </w:rPr>
            </w:pPr>
            <w:r>
              <w:rPr>
                <w:rFonts w:hint="eastAsia" w:ascii="宋体" w:hAnsi="宋体" w:cs="宋体"/>
                <w:kern w:val="0"/>
                <w:szCs w:val="21"/>
              </w:rPr>
              <w:t>①≥70</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得满分；</w:t>
            </w:r>
            <w:r>
              <w:rPr>
                <w:rFonts w:hint="eastAsia" w:ascii="宋体" w:hAnsi="宋体" w:cs="宋体"/>
                <w:kern w:val="0"/>
                <w:szCs w:val="21"/>
              </w:rPr>
              <w:t>②＜70</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按比例扣分</w:t>
            </w:r>
          </w:p>
        </w:tc>
        <w:tc>
          <w:tcPr>
            <w:tcW w:w="2334" w:type="dxa"/>
            <w:vAlign w:val="center"/>
          </w:tcPr>
          <w:p w14:paraId="4BADF7A1">
            <w:pPr>
              <w:widowControl/>
              <w:jc w:val="center"/>
              <w:rPr>
                <w:rFonts w:hint="eastAsia" w:ascii="宋体" w:hAnsi="宋体" w:cs="宋体"/>
                <w:kern w:val="0"/>
                <w:szCs w:val="21"/>
              </w:rPr>
            </w:pPr>
            <w:r>
              <w:rPr>
                <w:rFonts w:hint="eastAsia" w:ascii="宋体" w:hAnsi="宋体" w:cs="宋体"/>
                <w:kern w:val="0"/>
                <w:szCs w:val="21"/>
              </w:rPr>
              <w:t>疾控处会同市精保所提供考核结果。</w:t>
            </w:r>
          </w:p>
        </w:tc>
      </w:tr>
      <w:tr w14:paraId="40237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01E53D48">
            <w:pPr>
              <w:widowControl/>
              <w:jc w:val="center"/>
              <w:rPr>
                <w:rFonts w:ascii="宋体" w:hAnsi="宋体" w:cs="宋体"/>
                <w:kern w:val="0"/>
                <w:szCs w:val="21"/>
              </w:rPr>
            </w:pPr>
          </w:p>
        </w:tc>
        <w:tc>
          <w:tcPr>
            <w:tcW w:w="994" w:type="dxa"/>
            <w:vMerge w:val="continue"/>
            <w:vAlign w:val="center"/>
          </w:tcPr>
          <w:p w14:paraId="16108C10">
            <w:pPr>
              <w:widowControl/>
              <w:jc w:val="center"/>
              <w:rPr>
                <w:rFonts w:hint="eastAsia" w:ascii="宋体" w:hAnsi="宋体" w:cs="宋体"/>
                <w:kern w:val="0"/>
                <w:szCs w:val="21"/>
              </w:rPr>
            </w:pPr>
          </w:p>
        </w:tc>
        <w:tc>
          <w:tcPr>
            <w:tcW w:w="1134" w:type="dxa"/>
            <w:vMerge w:val="continue"/>
            <w:vAlign w:val="center"/>
          </w:tcPr>
          <w:p w14:paraId="72E7DCDC">
            <w:pPr>
              <w:widowControl/>
              <w:jc w:val="center"/>
              <w:rPr>
                <w:rFonts w:hint="eastAsia" w:ascii="宋体" w:hAnsi="宋体" w:cs="宋体"/>
                <w:kern w:val="0"/>
                <w:szCs w:val="21"/>
              </w:rPr>
            </w:pPr>
          </w:p>
        </w:tc>
        <w:tc>
          <w:tcPr>
            <w:tcW w:w="708" w:type="dxa"/>
            <w:vAlign w:val="center"/>
          </w:tcPr>
          <w:p w14:paraId="6DE110E9">
            <w:pPr>
              <w:widowControl/>
              <w:jc w:val="center"/>
              <w:rPr>
                <w:rFonts w:hint="eastAsia" w:ascii="宋体" w:hAnsi="宋体" w:cs="宋体"/>
                <w:kern w:val="0"/>
                <w:szCs w:val="21"/>
              </w:rPr>
            </w:pPr>
            <w:r>
              <w:rPr>
                <w:rFonts w:ascii="宋体" w:hAnsi="宋体" w:cs="宋体"/>
                <w:kern w:val="0"/>
                <w:szCs w:val="21"/>
              </w:rPr>
              <w:t>2</w:t>
            </w:r>
          </w:p>
        </w:tc>
        <w:tc>
          <w:tcPr>
            <w:tcW w:w="7892" w:type="dxa"/>
            <w:vAlign w:val="center"/>
          </w:tcPr>
          <w:p w14:paraId="44D7E418">
            <w:pPr>
              <w:widowControl/>
              <w:jc w:val="center"/>
              <w:rPr>
                <w:rFonts w:hint="eastAsia" w:ascii="宋体" w:hAnsi="宋体" w:cs="宋体"/>
                <w:szCs w:val="21"/>
                <w:shd w:val="clear" w:color="auto" w:fill="FFFFFF"/>
              </w:rPr>
            </w:pPr>
            <w:r>
              <w:rPr>
                <w:rFonts w:hint="eastAsia" w:ascii="宋体" w:hAnsi="宋体" w:cs="宋体"/>
                <w:szCs w:val="21"/>
                <w:shd w:val="clear" w:color="auto" w:fill="FFFFFF"/>
              </w:rPr>
              <w:t>9.结核病患者健康管理。</w:t>
            </w:r>
          </w:p>
          <w:p w14:paraId="45A342C7">
            <w:pPr>
              <w:widowControl/>
              <w:jc w:val="center"/>
              <w:rPr>
                <w:rFonts w:hint="eastAsia" w:ascii="宋体" w:hAnsi="宋体" w:cs="宋体"/>
                <w:color w:val="0000FF"/>
                <w:szCs w:val="21"/>
                <w:shd w:val="clear" w:color="auto" w:fill="FFFFFF"/>
              </w:rPr>
            </w:pPr>
            <w:r>
              <w:rPr>
                <w:rFonts w:hint="eastAsia" w:ascii="宋体" w:hAnsi="宋体" w:cs="宋体"/>
                <w:kern w:val="0"/>
                <w:szCs w:val="21"/>
              </w:rPr>
              <w:t>肺结核患者管理率=已管理的肺结核患者人数/辖区同期内经上级定点医疗机构确诊并通知基层医疗卫生机构管理的肺结核患者人数</w:t>
            </w:r>
            <w:r>
              <w:rPr>
                <w:rFonts w:hint="eastAsia" w:ascii="宋体" w:hAnsi="宋体" w:cs="Arial"/>
                <w:szCs w:val="21"/>
                <w:shd w:val="clear" w:color="auto" w:fill="FFFFFF"/>
              </w:rPr>
              <w:t>×</w:t>
            </w:r>
            <w:r>
              <w:rPr>
                <w:rFonts w:hint="eastAsia" w:ascii="宋体" w:hAnsi="宋体" w:cs="宋体"/>
                <w:kern w:val="0"/>
                <w:szCs w:val="21"/>
              </w:rPr>
              <w:t>100%</w:t>
            </w:r>
          </w:p>
          <w:p w14:paraId="3565A6C8">
            <w:pPr>
              <w:widowControl/>
              <w:jc w:val="center"/>
              <w:rPr>
                <w:rFonts w:hint="eastAsia" w:ascii="宋体" w:hAnsi="宋体" w:cs="宋体"/>
                <w:kern w:val="0"/>
                <w:szCs w:val="21"/>
              </w:rPr>
            </w:pPr>
            <w:r>
              <w:rPr>
                <w:rFonts w:hint="eastAsia" w:ascii="宋体" w:hAnsi="宋体" w:cs="宋体"/>
                <w:szCs w:val="21"/>
              </w:rPr>
              <w:t>从</w:t>
            </w:r>
            <w:r>
              <w:rPr>
                <w:rFonts w:hint="eastAsia" w:ascii="宋体" w:hAnsi="宋体" w:cs="宋体"/>
                <w:kern w:val="0"/>
                <w:szCs w:val="21"/>
              </w:rPr>
              <w:t>现有系统查看肺结核患者健康管理</w:t>
            </w:r>
            <w:r>
              <w:rPr>
                <w:rFonts w:hint="eastAsia" w:ascii="宋体" w:hAnsi="宋体" w:cs="宋体"/>
                <w:szCs w:val="21"/>
              </w:rPr>
              <w:t>率</w:t>
            </w:r>
            <w:r>
              <w:rPr>
                <w:rFonts w:hint="eastAsia" w:ascii="宋体" w:hAnsi="宋体" w:cs="宋体"/>
                <w:kern w:val="0"/>
                <w:szCs w:val="21"/>
              </w:rPr>
              <w:t>≥90%，得1分；&lt;90%，得0分</w:t>
            </w:r>
          </w:p>
        </w:tc>
        <w:tc>
          <w:tcPr>
            <w:tcW w:w="2334" w:type="dxa"/>
            <w:vAlign w:val="center"/>
          </w:tcPr>
          <w:p w14:paraId="589CB114">
            <w:pPr>
              <w:widowControl/>
              <w:jc w:val="center"/>
              <w:rPr>
                <w:rFonts w:hint="eastAsia" w:ascii="宋体" w:hAnsi="宋体" w:cs="宋体"/>
                <w:kern w:val="0"/>
                <w:szCs w:val="21"/>
              </w:rPr>
            </w:pPr>
            <w:r>
              <w:rPr>
                <w:rFonts w:hint="eastAsia" w:ascii="宋体" w:hAnsi="宋体" w:cs="宋体"/>
                <w:kern w:val="0"/>
                <w:szCs w:val="21"/>
              </w:rPr>
              <w:t>疾控处会同市结控所提供考核结果。</w:t>
            </w:r>
          </w:p>
        </w:tc>
      </w:tr>
      <w:tr w14:paraId="1B73B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2327" w:hRule="atLeast"/>
          <w:jc w:val="center"/>
        </w:trPr>
        <w:tc>
          <w:tcPr>
            <w:tcW w:w="1282" w:type="dxa"/>
            <w:vMerge w:val="continue"/>
            <w:vAlign w:val="center"/>
          </w:tcPr>
          <w:p w14:paraId="7A1CAB78">
            <w:pPr>
              <w:widowControl/>
              <w:jc w:val="center"/>
              <w:rPr>
                <w:rFonts w:ascii="宋体" w:hAnsi="宋体" w:cs="宋体"/>
                <w:kern w:val="0"/>
                <w:szCs w:val="21"/>
              </w:rPr>
            </w:pPr>
          </w:p>
        </w:tc>
        <w:tc>
          <w:tcPr>
            <w:tcW w:w="994" w:type="dxa"/>
            <w:vMerge w:val="continue"/>
            <w:vAlign w:val="center"/>
          </w:tcPr>
          <w:p w14:paraId="3DB1A10D">
            <w:pPr>
              <w:widowControl/>
              <w:jc w:val="center"/>
              <w:rPr>
                <w:rFonts w:hint="eastAsia" w:ascii="宋体" w:hAnsi="宋体" w:cs="宋体"/>
                <w:kern w:val="0"/>
                <w:szCs w:val="21"/>
              </w:rPr>
            </w:pPr>
          </w:p>
        </w:tc>
        <w:tc>
          <w:tcPr>
            <w:tcW w:w="1134" w:type="dxa"/>
            <w:vMerge w:val="continue"/>
            <w:vAlign w:val="center"/>
          </w:tcPr>
          <w:p w14:paraId="76DEBD6D">
            <w:pPr>
              <w:widowControl/>
              <w:jc w:val="center"/>
              <w:rPr>
                <w:rFonts w:hint="eastAsia" w:ascii="宋体" w:hAnsi="宋体" w:cs="宋体"/>
                <w:kern w:val="0"/>
                <w:szCs w:val="21"/>
              </w:rPr>
            </w:pPr>
          </w:p>
        </w:tc>
        <w:tc>
          <w:tcPr>
            <w:tcW w:w="708" w:type="dxa"/>
            <w:vAlign w:val="center"/>
          </w:tcPr>
          <w:p w14:paraId="2D3E368D">
            <w:pPr>
              <w:widowControl/>
              <w:jc w:val="center"/>
              <w:rPr>
                <w:rFonts w:hint="eastAsia" w:ascii="宋体" w:hAnsi="宋体" w:cs="宋体"/>
                <w:kern w:val="0"/>
                <w:szCs w:val="21"/>
              </w:rPr>
            </w:pPr>
            <w:r>
              <w:rPr>
                <w:rFonts w:hint="eastAsia" w:ascii="宋体" w:hAnsi="宋体" w:cs="宋体"/>
                <w:kern w:val="0"/>
                <w:szCs w:val="21"/>
              </w:rPr>
              <w:t>2</w:t>
            </w:r>
          </w:p>
        </w:tc>
        <w:tc>
          <w:tcPr>
            <w:tcW w:w="7892" w:type="dxa"/>
            <w:vAlign w:val="center"/>
          </w:tcPr>
          <w:p w14:paraId="57700B83">
            <w:pPr>
              <w:widowControl/>
              <w:jc w:val="center"/>
              <w:rPr>
                <w:rFonts w:hint="eastAsia" w:ascii="宋体" w:hAnsi="宋体" w:cs="宋体"/>
                <w:szCs w:val="21"/>
                <w:shd w:val="clear" w:color="auto" w:fill="FFFFFF"/>
              </w:rPr>
            </w:pPr>
            <w:r>
              <w:rPr>
                <w:rFonts w:hint="eastAsia" w:ascii="宋体" w:hAnsi="宋体" w:cs="宋体"/>
                <w:szCs w:val="21"/>
                <w:shd w:val="clear" w:color="auto" w:fill="FFFFFF"/>
              </w:rPr>
              <w:t>10.传染病及突发公共卫生事件报告和处理。</w:t>
            </w:r>
          </w:p>
          <w:p w14:paraId="0D8827CD">
            <w:pPr>
              <w:widowControl/>
              <w:jc w:val="center"/>
              <w:rPr>
                <w:rFonts w:hint="eastAsia" w:ascii="宋体" w:hAnsi="宋体" w:cs="宋体"/>
                <w:kern w:val="0"/>
                <w:szCs w:val="21"/>
              </w:rPr>
            </w:pPr>
            <w:r>
              <w:rPr>
                <w:rFonts w:hint="eastAsia" w:ascii="宋体" w:hAnsi="宋体" w:cs="宋体"/>
                <w:kern w:val="0"/>
                <w:szCs w:val="21"/>
              </w:rPr>
              <w:t>（1）法定传染病疫情报告及时率（1分）</w:t>
            </w:r>
          </w:p>
          <w:p w14:paraId="2E13D93C">
            <w:pPr>
              <w:widowControl/>
              <w:jc w:val="center"/>
              <w:rPr>
                <w:rFonts w:hint="eastAsia" w:ascii="宋体" w:hAnsi="宋体" w:cs="宋体"/>
                <w:kern w:val="0"/>
                <w:szCs w:val="21"/>
              </w:rPr>
            </w:pPr>
            <w:r>
              <w:rPr>
                <w:rFonts w:hint="eastAsia" w:ascii="宋体" w:hAnsi="宋体" w:cs="宋体"/>
                <w:kern w:val="0"/>
                <w:szCs w:val="21"/>
              </w:rPr>
              <w:t>①法定传染病疫情报告及时率=报告及时病例数/网络报告传染病病例数×100%；</w:t>
            </w:r>
          </w:p>
          <w:p w14:paraId="796FAE42">
            <w:pPr>
              <w:widowControl/>
              <w:jc w:val="center"/>
              <w:rPr>
                <w:rFonts w:hint="eastAsia" w:ascii="宋体" w:hAnsi="宋体" w:cs="宋体"/>
                <w:kern w:val="0"/>
                <w:szCs w:val="21"/>
              </w:rPr>
            </w:pPr>
            <w:r>
              <w:rPr>
                <w:rFonts w:hint="eastAsia" w:ascii="宋体" w:hAnsi="宋体" w:cs="宋体"/>
                <w:kern w:val="0"/>
                <w:szCs w:val="21"/>
              </w:rPr>
              <w:t>②从现有系统里面查看的法定传染病报告及时率≥95%，得1分；&lt;95%，得0分</w:t>
            </w:r>
          </w:p>
          <w:p w14:paraId="5BD7B850">
            <w:pPr>
              <w:widowControl/>
              <w:jc w:val="center"/>
              <w:rPr>
                <w:rFonts w:hint="eastAsia" w:ascii="宋体" w:hAnsi="宋体" w:cs="宋体"/>
                <w:kern w:val="0"/>
                <w:szCs w:val="21"/>
              </w:rPr>
            </w:pPr>
            <w:r>
              <w:rPr>
                <w:rFonts w:hint="eastAsia" w:ascii="宋体" w:hAnsi="宋体" w:cs="宋体"/>
                <w:kern w:val="0"/>
                <w:szCs w:val="21"/>
              </w:rPr>
              <w:t>（2）突发公共卫生事件相关信息报告及时率（1分）</w:t>
            </w:r>
          </w:p>
          <w:p w14:paraId="1F3F5B91">
            <w:pPr>
              <w:widowControl/>
              <w:jc w:val="center"/>
              <w:rPr>
                <w:rFonts w:hint="eastAsia" w:ascii="宋体" w:hAnsi="宋体" w:cs="宋体"/>
                <w:szCs w:val="21"/>
                <w:shd w:val="clear" w:color="auto" w:fill="FFFFFF"/>
              </w:rPr>
            </w:pPr>
            <w:r>
              <w:rPr>
                <w:rFonts w:hint="eastAsia" w:ascii="宋体" w:hAnsi="宋体" w:cs="宋体"/>
                <w:kern w:val="0"/>
                <w:szCs w:val="21"/>
              </w:rPr>
              <w:t>从现有系统里查看年度报告突发公共卫生事件相关信息数/应报告突发公共卫生事件相关信息数；及时率达到100%得1分，否则0分</w:t>
            </w:r>
          </w:p>
        </w:tc>
        <w:tc>
          <w:tcPr>
            <w:tcW w:w="2334" w:type="dxa"/>
            <w:vAlign w:val="center"/>
          </w:tcPr>
          <w:p w14:paraId="0FAA814C">
            <w:pPr>
              <w:widowControl/>
              <w:jc w:val="center"/>
              <w:rPr>
                <w:rFonts w:hint="eastAsia" w:ascii="宋体" w:hAnsi="宋体" w:cs="宋体"/>
                <w:kern w:val="0"/>
                <w:szCs w:val="21"/>
              </w:rPr>
            </w:pPr>
            <w:r>
              <w:rPr>
                <w:rFonts w:hint="eastAsia" w:ascii="宋体" w:hAnsi="宋体" w:cs="宋体"/>
                <w:kern w:val="0"/>
                <w:szCs w:val="21"/>
              </w:rPr>
              <w:t>疾控处、应急办会同市疾控中心提供考核结果。</w:t>
            </w:r>
          </w:p>
        </w:tc>
      </w:tr>
      <w:tr w14:paraId="1AF8B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2340" w:hRule="atLeast"/>
          <w:jc w:val="center"/>
        </w:trPr>
        <w:tc>
          <w:tcPr>
            <w:tcW w:w="1282" w:type="dxa"/>
            <w:vMerge w:val="continue"/>
            <w:vAlign w:val="center"/>
          </w:tcPr>
          <w:p w14:paraId="329FE9FE">
            <w:pPr>
              <w:widowControl/>
              <w:jc w:val="center"/>
              <w:rPr>
                <w:rFonts w:ascii="宋体" w:hAnsi="宋体" w:cs="宋体"/>
                <w:kern w:val="0"/>
                <w:szCs w:val="21"/>
              </w:rPr>
            </w:pPr>
          </w:p>
        </w:tc>
        <w:tc>
          <w:tcPr>
            <w:tcW w:w="994" w:type="dxa"/>
            <w:vMerge w:val="continue"/>
            <w:vAlign w:val="center"/>
          </w:tcPr>
          <w:p w14:paraId="7A51D8B0">
            <w:pPr>
              <w:widowControl/>
              <w:jc w:val="center"/>
              <w:rPr>
                <w:rFonts w:hint="eastAsia" w:ascii="宋体" w:hAnsi="宋体" w:cs="宋体"/>
                <w:kern w:val="0"/>
                <w:szCs w:val="21"/>
              </w:rPr>
            </w:pPr>
          </w:p>
        </w:tc>
        <w:tc>
          <w:tcPr>
            <w:tcW w:w="1134" w:type="dxa"/>
            <w:vMerge w:val="continue"/>
            <w:vAlign w:val="center"/>
          </w:tcPr>
          <w:p w14:paraId="733FE628">
            <w:pPr>
              <w:widowControl/>
              <w:jc w:val="center"/>
              <w:rPr>
                <w:rFonts w:hint="eastAsia" w:ascii="宋体" w:hAnsi="宋体" w:cs="宋体"/>
                <w:kern w:val="0"/>
                <w:szCs w:val="21"/>
              </w:rPr>
            </w:pPr>
          </w:p>
        </w:tc>
        <w:tc>
          <w:tcPr>
            <w:tcW w:w="708" w:type="dxa"/>
            <w:vAlign w:val="center"/>
          </w:tcPr>
          <w:p w14:paraId="74C99443">
            <w:pPr>
              <w:widowControl/>
              <w:jc w:val="center"/>
              <w:rPr>
                <w:rFonts w:hint="eastAsia" w:ascii="宋体" w:hAnsi="宋体" w:cs="宋体"/>
                <w:kern w:val="0"/>
                <w:szCs w:val="21"/>
              </w:rPr>
            </w:pPr>
            <w:r>
              <w:rPr>
                <w:rFonts w:ascii="宋体" w:hAnsi="宋体" w:cs="宋体"/>
                <w:kern w:val="0"/>
                <w:szCs w:val="21"/>
              </w:rPr>
              <w:t>2</w:t>
            </w:r>
          </w:p>
        </w:tc>
        <w:tc>
          <w:tcPr>
            <w:tcW w:w="7892" w:type="dxa"/>
            <w:vAlign w:val="center"/>
          </w:tcPr>
          <w:p w14:paraId="01870DE7">
            <w:pPr>
              <w:widowControl/>
              <w:jc w:val="center"/>
              <w:rPr>
                <w:rFonts w:ascii="宋体" w:hAnsi="宋体" w:cs="Arial"/>
                <w:szCs w:val="21"/>
                <w:shd w:val="clear" w:color="auto" w:fill="FFFFFF"/>
              </w:rPr>
            </w:pPr>
            <w:r>
              <w:rPr>
                <w:rFonts w:hint="eastAsia" w:ascii="宋体" w:hAnsi="宋体" w:cs="Arial"/>
                <w:szCs w:val="21"/>
                <w:shd w:val="clear" w:color="auto" w:fill="FFFFFF"/>
              </w:rPr>
              <w:t>1</w:t>
            </w:r>
            <w:r>
              <w:rPr>
                <w:rFonts w:ascii="宋体" w:hAnsi="宋体" w:cs="Arial"/>
                <w:szCs w:val="21"/>
                <w:shd w:val="clear" w:color="auto" w:fill="FFFFFF"/>
              </w:rPr>
              <w:t>1.中医药健康管理</w:t>
            </w:r>
            <w:r>
              <w:rPr>
                <w:rFonts w:hint="eastAsia" w:ascii="宋体" w:hAnsi="宋体" w:cs="Arial"/>
                <w:szCs w:val="21"/>
                <w:shd w:val="clear" w:color="auto" w:fill="FFFFFF"/>
              </w:rPr>
              <w:t>。</w:t>
            </w:r>
          </w:p>
          <w:p w14:paraId="33B9646A">
            <w:pPr>
              <w:widowControl/>
              <w:jc w:val="center"/>
              <w:rPr>
                <w:rFonts w:hint="eastAsia" w:ascii="宋体" w:hAnsi="宋体" w:cs="宋体"/>
                <w:kern w:val="0"/>
                <w:szCs w:val="21"/>
              </w:rPr>
            </w:pPr>
            <w:r>
              <w:rPr>
                <w:rFonts w:hint="eastAsia" w:ascii="宋体" w:hAnsi="宋体" w:cs="宋体"/>
                <w:kern w:val="0"/>
                <w:szCs w:val="21"/>
              </w:rPr>
              <w:t>（1）老年人中医药健康管理率（1分）</w:t>
            </w:r>
          </w:p>
          <w:p w14:paraId="19F77843">
            <w:pPr>
              <w:widowControl/>
              <w:jc w:val="center"/>
              <w:rPr>
                <w:rFonts w:hint="eastAsia" w:ascii="宋体" w:hAnsi="宋体" w:cs="宋体"/>
                <w:kern w:val="0"/>
                <w:szCs w:val="21"/>
              </w:rPr>
            </w:pPr>
            <w:r>
              <w:rPr>
                <w:rFonts w:hint="eastAsia" w:ascii="宋体" w:hAnsi="宋体" w:cs="宋体"/>
                <w:kern w:val="0"/>
                <w:szCs w:val="21"/>
              </w:rPr>
              <w:t>老年人中医药健康管理服务率≥50%得1分；不足50%的，得分=老年人中医药健康管理服务率/50%×1分。</w:t>
            </w:r>
          </w:p>
          <w:p w14:paraId="2DBA2806">
            <w:pPr>
              <w:widowControl/>
              <w:jc w:val="center"/>
              <w:rPr>
                <w:rFonts w:hint="eastAsia" w:ascii="宋体" w:hAnsi="宋体" w:cs="宋体"/>
                <w:kern w:val="0"/>
                <w:szCs w:val="21"/>
              </w:rPr>
            </w:pPr>
            <w:r>
              <w:rPr>
                <w:rFonts w:hint="eastAsia" w:ascii="宋体" w:hAnsi="宋体" w:cs="宋体"/>
                <w:kern w:val="0"/>
                <w:szCs w:val="21"/>
              </w:rPr>
              <w:t>（2）0-36个月儿童中医药健康管理服务率（1分）</w:t>
            </w:r>
          </w:p>
          <w:p w14:paraId="72AEC772">
            <w:pPr>
              <w:widowControl/>
              <w:jc w:val="center"/>
              <w:rPr>
                <w:rFonts w:hint="eastAsia" w:ascii="宋体" w:hAnsi="宋体" w:cs="宋体"/>
                <w:kern w:val="0"/>
                <w:szCs w:val="21"/>
              </w:rPr>
            </w:pPr>
            <w:r>
              <w:rPr>
                <w:rFonts w:hint="eastAsia" w:ascii="宋体" w:hAnsi="宋体" w:cs="宋体"/>
                <w:kern w:val="0"/>
                <w:szCs w:val="21"/>
              </w:rPr>
              <w:t>0-36个月儿童中医药健康管理服务率≥55%得1分；不足55%的，得分=0-36个月儿童中医药健康管理服务率/55%×1分。</w:t>
            </w:r>
          </w:p>
        </w:tc>
        <w:tc>
          <w:tcPr>
            <w:tcW w:w="2334" w:type="dxa"/>
            <w:vAlign w:val="center"/>
          </w:tcPr>
          <w:p w14:paraId="2435A445">
            <w:pPr>
              <w:widowControl/>
              <w:jc w:val="center"/>
              <w:rPr>
                <w:rFonts w:hint="eastAsia" w:ascii="宋体" w:hAnsi="宋体" w:cs="宋体"/>
                <w:kern w:val="0"/>
                <w:szCs w:val="21"/>
              </w:rPr>
            </w:pPr>
            <w:r>
              <w:rPr>
                <w:rFonts w:hint="eastAsia" w:ascii="宋体" w:hAnsi="宋体" w:cs="宋体"/>
                <w:kern w:val="0"/>
                <w:szCs w:val="21"/>
              </w:rPr>
              <w:t>中医管理局提供考核结果。</w:t>
            </w:r>
          </w:p>
        </w:tc>
      </w:tr>
      <w:tr w14:paraId="1266F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18F60BEB">
            <w:pPr>
              <w:widowControl/>
              <w:jc w:val="center"/>
              <w:rPr>
                <w:rFonts w:ascii="宋体" w:hAnsi="宋体" w:cs="宋体"/>
                <w:kern w:val="0"/>
                <w:szCs w:val="21"/>
              </w:rPr>
            </w:pPr>
          </w:p>
        </w:tc>
        <w:tc>
          <w:tcPr>
            <w:tcW w:w="994" w:type="dxa"/>
            <w:vMerge w:val="continue"/>
            <w:vAlign w:val="center"/>
          </w:tcPr>
          <w:p w14:paraId="40E0BF7D">
            <w:pPr>
              <w:widowControl/>
              <w:jc w:val="center"/>
              <w:rPr>
                <w:rFonts w:hint="eastAsia" w:ascii="宋体" w:hAnsi="宋体" w:cs="宋体"/>
                <w:kern w:val="0"/>
                <w:szCs w:val="21"/>
              </w:rPr>
            </w:pPr>
          </w:p>
        </w:tc>
        <w:tc>
          <w:tcPr>
            <w:tcW w:w="1134" w:type="dxa"/>
            <w:vMerge w:val="continue"/>
            <w:vAlign w:val="center"/>
          </w:tcPr>
          <w:p w14:paraId="329C1ED5">
            <w:pPr>
              <w:widowControl/>
              <w:jc w:val="center"/>
              <w:rPr>
                <w:rFonts w:hint="eastAsia" w:ascii="宋体" w:hAnsi="宋体" w:cs="宋体"/>
                <w:kern w:val="0"/>
                <w:szCs w:val="21"/>
              </w:rPr>
            </w:pPr>
          </w:p>
        </w:tc>
        <w:tc>
          <w:tcPr>
            <w:tcW w:w="708" w:type="dxa"/>
            <w:vAlign w:val="center"/>
          </w:tcPr>
          <w:p w14:paraId="4948C2B2">
            <w:pPr>
              <w:widowControl/>
              <w:jc w:val="center"/>
              <w:rPr>
                <w:rFonts w:hint="eastAsia" w:ascii="宋体" w:hAnsi="宋体" w:cs="宋体"/>
                <w:kern w:val="0"/>
                <w:szCs w:val="21"/>
              </w:rPr>
            </w:pPr>
            <w:r>
              <w:rPr>
                <w:rFonts w:ascii="宋体" w:hAnsi="宋体" w:cs="宋体"/>
                <w:kern w:val="0"/>
                <w:szCs w:val="21"/>
              </w:rPr>
              <w:t>2</w:t>
            </w:r>
          </w:p>
        </w:tc>
        <w:tc>
          <w:tcPr>
            <w:tcW w:w="7892" w:type="dxa"/>
            <w:vAlign w:val="center"/>
          </w:tcPr>
          <w:p w14:paraId="4216885D">
            <w:pPr>
              <w:widowControl/>
              <w:jc w:val="center"/>
              <w:rPr>
                <w:rFonts w:hint="eastAsia" w:ascii="宋体" w:hAnsi="宋体" w:cs="宋体"/>
                <w:kern w:val="0"/>
                <w:szCs w:val="21"/>
              </w:rPr>
            </w:pPr>
            <w:r>
              <w:rPr>
                <w:rFonts w:hint="eastAsia" w:ascii="宋体" w:hAnsi="宋体" w:cs="Arial"/>
                <w:szCs w:val="21"/>
                <w:shd w:val="clear" w:color="auto" w:fill="FFFFFF"/>
              </w:rPr>
              <w:t>1</w:t>
            </w:r>
            <w:r>
              <w:rPr>
                <w:rFonts w:ascii="宋体" w:hAnsi="宋体" w:cs="Arial"/>
                <w:szCs w:val="21"/>
                <w:shd w:val="clear" w:color="auto" w:fill="FFFFFF"/>
              </w:rPr>
              <w:t>2.卫生</w:t>
            </w:r>
            <w:r>
              <w:rPr>
                <w:rFonts w:hint="eastAsia" w:ascii="宋体" w:hAnsi="宋体" w:cs="Arial"/>
                <w:szCs w:val="21"/>
                <w:shd w:val="clear" w:color="auto" w:fill="FFFFFF"/>
              </w:rPr>
              <w:t>健康</w:t>
            </w:r>
            <w:r>
              <w:rPr>
                <w:rFonts w:ascii="宋体" w:hAnsi="宋体" w:cs="Arial"/>
                <w:szCs w:val="21"/>
                <w:shd w:val="clear" w:color="auto" w:fill="FFFFFF"/>
              </w:rPr>
              <w:t>监督协管服务</w:t>
            </w:r>
            <w:r>
              <w:rPr>
                <w:rFonts w:hint="eastAsia" w:ascii="宋体" w:hAnsi="宋体" w:cs="Arial"/>
                <w:szCs w:val="21"/>
                <w:shd w:val="clear" w:color="auto" w:fill="FFFFFF"/>
              </w:rPr>
              <w:t>。</w:t>
            </w:r>
          </w:p>
        </w:tc>
        <w:tc>
          <w:tcPr>
            <w:tcW w:w="2334" w:type="dxa"/>
            <w:vAlign w:val="center"/>
          </w:tcPr>
          <w:p w14:paraId="1DA29AD2">
            <w:pPr>
              <w:widowControl/>
              <w:jc w:val="center"/>
              <w:rPr>
                <w:rFonts w:hint="eastAsia" w:ascii="宋体" w:hAnsi="宋体" w:cs="宋体"/>
                <w:kern w:val="0"/>
                <w:szCs w:val="21"/>
              </w:rPr>
            </w:pPr>
            <w:r>
              <w:rPr>
                <w:rFonts w:hint="eastAsia" w:ascii="宋体" w:hAnsi="宋体" w:cs="宋体"/>
                <w:kern w:val="0"/>
                <w:szCs w:val="21"/>
              </w:rPr>
              <w:t>综合监督处提供考核结果。</w:t>
            </w:r>
          </w:p>
        </w:tc>
      </w:tr>
      <w:tr w14:paraId="4DB56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1F014231">
            <w:pPr>
              <w:widowControl/>
              <w:jc w:val="center"/>
              <w:rPr>
                <w:rFonts w:ascii="宋体" w:hAnsi="宋体" w:cs="宋体"/>
                <w:kern w:val="0"/>
                <w:szCs w:val="21"/>
              </w:rPr>
            </w:pPr>
          </w:p>
        </w:tc>
        <w:tc>
          <w:tcPr>
            <w:tcW w:w="994" w:type="dxa"/>
            <w:vMerge w:val="continue"/>
            <w:vAlign w:val="center"/>
          </w:tcPr>
          <w:p w14:paraId="71041B22">
            <w:pPr>
              <w:widowControl/>
              <w:jc w:val="center"/>
              <w:rPr>
                <w:rFonts w:hint="eastAsia" w:ascii="宋体" w:hAnsi="宋体" w:cs="宋体"/>
                <w:kern w:val="0"/>
                <w:szCs w:val="21"/>
              </w:rPr>
            </w:pPr>
          </w:p>
        </w:tc>
        <w:tc>
          <w:tcPr>
            <w:tcW w:w="1134" w:type="dxa"/>
            <w:vMerge w:val="continue"/>
            <w:vAlign w:val="center"/>
          </w:tcPr>
          <w:p w14:paraId="6241B123">
            <w:pPr>
              <w:widowControl/>
              <w:jc w:val="center"/>
              <w:rPr>
                <w:rFonts w:hint="eastAsia" w:ascii="宋体" w:hAnsi="宋体" w:cs="宋体"/>
                <w:kern w:val="0"/>
                <w:szCs w:val="21"/>
              </w:rPr>
            </w:pPr>
          </w:p>
        </w:tc>
        <w:tc>
          <w:tcPr>
            <w:tcW w:w="708" w:type="dxa"/>
            <w:vAlign w:val="center"/>
          </w:tcPr>
          <w:p w14:paraId="0FFFC014">
            <w:pPr>
              <w:widowControl/>
              <w:jc w:val="center"/>
              <w:rPr>
                <w:rFonts w:hint="eastAsia" w:ascii="宋体" w:hAnsi="宋体" w:cs="宋体"/>
                <w:kern w:val="0"/>
                <w:szCs w:val="21"/>
              </w:rPr>
            </w:pPr>
            <w:r>
              <w:rPr>
                <w:rFonts w:hint="eastAsia" w:ascii="宋体" w:hAnsi="宋体" w:cs="宋体"/>
                <w:kern w:val="0"/>
                <w:szCs w:val="21"/>
              </w:rPr>
              <w:t>2</w:t>
            </w:r>
          </w:p>
        </w:tc>
        <w:tc>
          <w:tcPr>
            <w:tcW w:w="7892" w:type="dxa"/>
            <w:vAlign w:val="center"/>
          </w:tcPr>
          <w:p w14:paraId="6121778F">
            <w:pPr>
              <w:widowControl/>
              <w:numPr>
                <w:ilvl w:val="0"/>
                <w:numId w:val="6"/>
              </w:numPr>
              <w:jc w:val="center"/>
              <w:rPr>
                <w:rFonts w:hint="eastAsia" w:ascii="宋体" w:hAnsi="宋体" w:cs="Arial"/>
                <w:szCs w:val="21"/>
                <w:shd w:val="clear" w:color="auto" w:fill="FFFFFF"/>
              </w:rPr>
            </w:pPr>
            <w:r>
              <w:rPr>
                <w:rFonts w:hint="eastAsia" w:ascii="宋体" w:hAnsi="宋体" w:cs="Arial"/>
                <w:szCs w:val="21"/>
                <w:shd w:val="clear" w:color="auto" w:fill="FFFFFF"/>
              </w:rPr>
              <w:t>组织管理:基层健康信息互联互通。</w:t>
            </w:r>
          </w:p>
          <w:p w14:paraId="0F757A47">
            <w:pPr>
              <w:widowControl/>
              <w:jc w:val="center"/>
              <w:rPr>
                <w:rFonts w:ascii="宋体" w:hAnsi="宋体" w:cs="Arial"/>
                <w:color w:val="auto"/>
                <w:szCs w:val="21"/>
                <w:shd w:val="clear" w:color="auto" w:fill="FFFFFF"/>
              </w:rPr>
            </w:pPr>
            <w:r>
              <w:rPr>
                <w:rFonts w:hint="eastAsia" w:ascii="宋体" w:hAnsi="宋体" w:cs="Arial"/>
                <w:color w:val="auto"/>
                <w:szCs w:val="21"/>
                <w:shd w:val="clear" w:color="auto" w:fill="FFFFFF"/>
              </w:rPr>
              <w:t>（1）区域健康信息互联互通（1分）</w:t>
            </w:r>
          </w:p>
          <w:p w14:paraId="50C00550">
            <w:pPr>
              <w:widowControl/>
              <w:ind w:firstLine="420" w:firstLineChars="200"/>
              <w:jc w:val="center"/>
              <w:rPr>
                <w:rFonts w:hint="eastAsia" w:ascii="宋体" w:hAnsi="宋体" w:cs="宋体"/>
                <w:color w:val="auto"/>
                <w:kern w:val="0"/>
                <w:szCs w:val="21"/>
              </w:rPr>
            </w:pPr>
            <w:r>
              <w:rPr>
                <w:rFonts w:hint="eastAsia" w:ascii="宋体" w:hAnsi="宋体" w:cs="宋体"/>
                <w:color w:val="auto"/>
                <w:kern w:val="0"/>
                <w:szCs w:val="21"/>
              </w:rPr>
              <w:t>①基本公共卫生信息平台可以与专业公共卫生服务信息共享（完成精防、计免、妇幼、药采四个之一即可得0.2分）（0.2分）；</w:t>
            </w:r>
          </w:p>
          <w:p w14:paraId="6B6BA95F">
            <w:pPr>
              <w:widowControl/>
              <w:ind w:firstLine="420" w:firstLineChars="200"/>
              <w:jc w:val="center"/>
              <w:rPr>
                <w:rFonts w:hint="eastAsia" w:ascii="宋体" w:hAnsi="宋体" w:cs="宋体"/>
                <w:color w:val="auto"/>
                <w:kern w:val="0"/>
                <w:szCs w:val="21"/>
              </w:rPr>
            </w:pPr>
            <w:r>
              <w:rPr>
                <w:rFonts w:hint="eastAsia" w:ascii="宋体" w:hAnsi="宋体" w:cs="宋体"/>
                <w:color w:val="auto"/>
                <w:kern w:val="0"/>
                <w:szCs w:val="21"/>
              </w:rPr>
              <w:t>②可以查看区域内健康档案详情，档案中可以看到同一患者在不同机构的就诊记录，包括医院诊疗信息系统门诊/住院记录、体检结果、实验室结果（0.2分）；</w:t>
            </w:r>
          </w:p>
          <w:p w14:paraId="7A672EC5">
            <w:pPr>
              <w:widowControl/>
              <w:ind w:firstLine="420" w:firstLineChars="200"/>
              <w:jc w:val="center"/>
              <w:rPr>
                <w:rFonts w:hint="eastAsia" w:ascii="宋体" w:hAnsi="宋体" w:cs="宋体"/>
                <w:color w:val="auto"/>
                <w:kern w:val="0"/>
                <w:szCs w:val="21"/>
              </w:rPr>
            </w:pPr>
            <w:r>
              <w:rPr>
                <w:rFonts w:hint="eastAsia" w:ascii="宋体" w:hAnsi="宋体" w:cs="宋体"/>
                <w:color w:val="auto"/>
                <w:kern w:val="0"/>
                <w:szCs w:val="21"/>
              </w:rPr>
              <w:t>③区信息平台具有统计汇总功能，可以查看到基层机构的基本公共卫生和基本医疗信息，并可以数据统计汇总；可以根据重点人群管理情况进行区域内统计查询（0.1分）；可以根据慢病分布情况进行区内统计查询（0.1分）；可以根据档案完整度情况，具备完整度标准设置功能（0.1分）；具备服务评分查询，与机构服务统计功能（0.1分）</w:t>
            </w:r>
          </w:p>
          <w:p w14:paraId="626BA4B2">
            <w:pPr>
              <w:widowControl/>
              <w:ind w:firstLine="420" w:firstLineChars="200"/>
              <w:jc w:val="center"/>
              <w:rPr>
                <w:rFonts w:hint="eastAsia" w:ascii="宋体" w:hAnsi="宋体" w:cs="宋体"/>
                <w:color w:val="auto"/>
                <w:kern w:val="0"/>
                <w:szCs w:val="21"/>
              </w:rPr>
            </w:pPr>
            <w:r>
              <w:rPr>
                <w:rFonts w:hint="eastAsia" w:ascii="宋体" w:hAnsi="宋体" w:cs="宋体"/>
                <w:color w:val="auto"/>
                <w:kern w:val="0"/>
                <w:szCs w:val="21"/>
              </w:rPr>
              <w:t>④有信息惠民服务系统（0.2分）</w:t>
            </w:r>
          </w:p>
          <w:p w14:paraId="7F183D86">
            <w:pPr>
              <w:widowControl/>
              <w:ind w:firstLine="210" w:firstLineChars="100"/>
              <w:jc w:val="center"/>
              <w:rPr>
                <w:rFonts w:ascii="宋体" w:hAnsi="宋体" w:cs="宋体"/>
                <w:color w:val="auto"/>
                <w:kern w:val="0"/>
                <w:szCs w:val="21"/>
              </w:rPr>
            </w:pPr>
            <w:r>
              <w:rPr>
                <w:rFonts w:hint="eastAsia" w:ascii="宋体" w:hAnsi="宋体" w:cs="宋体"/>
                <w:color w:val="auto"/>
                <w:kern w:val="0"/>
                <w:szCs w:val="21"/>
              </w:rPr>
              <w:t>（2）基层医疗卫生机构信息互联互通（1分）</w:t>
            </w:r>
          </w:p>
          <w:p w14:paraId="4D766967">
            <w:pPr>
              <w:widowControl/>
              <w:ind w:firstLine="420" w:firstLineChars="200"/>
              <w:jc w:val="center"/>
              <w:rPr>
                <w:rFonts w:hint="eastAsia" w:ascii="宋体" w:hAnsi="宋体" w:cs="宋体"/>
                <w:color w:val="auto"/>
                <w:kern w:val="0"/>
                <w:szCs w:val="21"/>
              </w:rPr>
            </w:pPr>
            <w:r>
              <w:rPr>
                <w:rFonts w:hint="eastAsia" w:ascii="宋体" w:hAnsi="宋体" w:cs="宋体"/>
                <w:color w:val="auto"/>
                <w:kern w:val="0"/>
                <w:szCs w:val="21"/>
              </w:rPr>
              <w:t>①能够对慢性病进行专档管理，具有慢病专项分类查询（0.1分）；能将门诊诊疗数据自动更新至健康档案，在健康档案随访、评估时可以引用（0.1分）；能对慢性病随访逻辑数据的输入进行质控，如必填、逻辑校验等（0.1分）。</w:t>
            </w:r>
          </w:p>
          <w:p w14:paraId="35BFFB48">
            <w:pPr>
              <w:widowControl/>
              <w:ind w:firstLine="420" w:firstLineChars="200"/>
              <w:jc w:val="center"/>
              <w:rPr>
                <w:rFonts w:hint="eastAsia" w:ascii="宋体" w:hAnsi="宋体" w:cs="宋体"/>
                <w:color w:val="auto"/>
                <w:kern w:val="0"/>
                <w:szCs w:val="21"/>
              </w:rPr>
            </w:pPr>
            <w:r>
              <w:rPr>
                <w:rFonts w:hint="eastAsia" w:ascii="宋体" w:hAnsi="宋体" w:cs="宋体"/>
                <w:color w:val="auto"/>
                <w:kern w:val="0"/>
                <w:szCs w:val="21"/>
              </w:rPr>
              <w:t>②实现健康服务信息管理，通过体检系统生成报告并归档上传健康档案（0.1分）；在健康档案中查看区内不同医疗机构的诊疗数据（0.1分）；健康档案中可以可查看健康小屋等外部设备的个人健康数据（0.1分）</w:t>
            </w:r>
          </w:p>
          <w:p w14:paraId="2CB2634E">
            <w:pPr>
              <w:widowControl/>
              <w:ind w:firstLine="420" w:firstLineChars="200"/>
              <w:jc w:val="center"/>
              <w:rPr>
                <w:rFonts w:hint="eastAsia" w:ascii="宋体" w:hAnsi="宋体" w:cs="宋体"/>
                <w:color w:val="auto"/>
                <w:kern w:val="0"/>
                <w:szCs w:val="21"/>
              </w:rPr>
            </w:pPr>
            <w:r>
              <w:rPr>
                <w:rFonts w:hint="eastAsia" w:ascii="宋体" w:hAnsi="宋体" w:cs="宋体"/>
                <w:color w:val="auto"/>
                <w:kern w:val="0"/>
                <w:szCs w:val="21"/>
              </w:rPr>
              <w:t>③在基层医疗卫生服务信息系统中，可看到同一患者有关信息项的同步关联情况（0.1分）；</w:t>
            </w:r>
          </w:p>
          <w:p w14:paraId="34349AA4">
            <w:pPr>
              <w:widowControl/>
              <w:ind w:firstLine="420" w:firstLineChars="200"/>
              <w:jc w:val="center"/>
              <w:rPr>
                <w:rFonts w:hint="eastAsia" w:ascii="宋体" w:hAnsi="宋体" w:cs="宋体"/>
                <w:color w:val="auto"/>
                <w:kern w:val="0"/>
                <w:szCs w:val="21"/>
              </w:rPr>
            </w:pPr>
            <w:r>
              <w:rPr>
                <w:rFonts w:hint="eastAsia" w:ascii="宋体" w:hAnsi="宋体" w:cs="宋体"/>
                <w:color w:val="auto"/>
                <w:kern w:val="0"/>
                <w:szCs w:val="21"/>
              </w:rPr>
              <w:t>④健康档案系统能够与体检系统、LIS、基层医疗系统、健康小屋等信息互通（0.1分）；在健康档案中查看区内不同医疗机构的诊疗数据（0.1分）；</w:t>
            </w:r>
          </w:p>
          <w:p w14:paraId="6A7D5F3D">
            <w:pPr>
              <w:widowControl/>
              <w:numPr>
                <w:ilvl w:val="0"/>
                <w:numId w:val="0"/>
              </w:numPr>
              <w:jc w:val="center"/>
              <w:rPr>
                <w:rFonts w:hint="eastAsia" w:ascii="宋体" w:hAnsi="宋体" w:cs="Arial"/>
                <w:szCs w:val="21"/>
                <w:shd w:val="clear" w:color="auto" w:fill="FFFFFF"/>
              </w:rPr>
            </w:pPr>
            <w:r>
              <w:rPr>
                <w:rFonts w:hint="eastAsia" w:ascii="Calibri" w:hAnsi="Calibri" w:cs="Calibri"/>
                <w:color w:val="auto"/>
                <w:kern w:val="0"/>
                <w:szCs w:val="21"/>
              </w:rPr>
              <w:t>⑤基本公共卫生系统</w:t>
            </w:r>
            <w:r>
              <w:rPr>
                <w:rFonts w:hint="eastAsia" w:ascii="宋体" w:hAnsi="宋体" w:cs="宋体"/>
                <w:color w:val="auto"/>
                <w:kern w:val="0"/>
                <w:szCs w:val="21"/>
              </w:rPr>
              <w:t>可以完成家医签约及公共卫生服务业务，不用重复</w:t>
            </w:r>
            <w:r>
              <w:rPr>
                <w:rFonts w:hint="eastAsia" w:ascii="宋体" w:hAnsi="宋体" w:cs="宋体"/>
                <w:color w:val="auto"/>
                <w:kern w:val="0"/>
                <w:szCs w:val="21"/>
                <w:lang w:val="en-US" w:eastAsia="zh-CN"/>
              </w:rPr>
              <w:t>登录</w:t>
            </w:r>
            <w:bookmarkStart w:id="1" w:name="_GoBack"/>
            <w:bookmarkEnd w:id="1"/>
            <w:r>
              <w:rPr>
                <w:rFonts w:hint="eastAsia" w:ascii="宋体" w:hAnsi="宋体" w:cs="宋体"/>
                <w:color w:val="auto"/>
                <w:kern w:val="0"/>
                <w:szCs w:val="21"/>
              </w:rPr>
              <w:t>系统（0.1分）。</w:t>
            </w:r>
          </w:p>
        </w:tc>
        <w:tc>
          <w:tcPr>
            <w:tcW w:w="2334" w:type="dxa"/>
            <w:vAlign w:val="center"/>
          </w:tcPr>
          <w:p w14:paraId="5DFB90E2">
            <w:pPr>
              <w:widowControl/>
              <w:jc w:val="center"/>
              <w:rPr>
                <w:rFonts w:hint="eastAsia" w:ascii="宋体" w:hAnsi="宋体" w:cs="宋体"/>
                <w:kern w:val="0"/>
                <w:szCs w:val="21"/>
              </w:rPr>
            </w:pPr>
            <w:r>
              <w:rPr>
                <w:rFonts w:hint="eastAsia" w:ascii="宋体" w:hAnsi="宋体" w:cs="宋体"/>
                <w:kern w:val="0"/>
                <w:szCs w:val="21"/>
              </w:rPr>
              <w:t>信息统计处会同市卫生健康信息中心提供考核结果。</w:t>
            </w:r>
          </w:p>
        </w:tc>
      </w:tr>
      <w:tr w14:paraId="4B20A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7CF43252">
            <w:pPr>
              <w:widowControl/>
              <w:jc w:val="center"/>
              <w:rPr>
                <w:rFonts w:ascii="宋体" w:hAnsi="宋体" w:cs="宋体"/>
                <w:kern w:val="0"/>
                <w:szCs w:val="21"/>
              </w:rPr>
            </w:pPr>
          </w:p>
        </w:tc>
        <w:tc>
          <w:tcPr>
            <w:tcW w:w="994" w:type="dxa"/>
            <w:vMerge w:val="continue"/>
            <w:vAlign w:val="center"/>
          </w:tcPr>
          <w:p w14:paraId="1FA0A813">
            <w:pPr>
              <w:widowControl/>
              <w:jc w:val="center"/>
              <w:rPr>
                <w:rFonts w:hint="eastAsia" w:ascii="宋体" w:hAnsi="宋体" w:cs="宋体"/>
                <w:kern w:val="0"/>
                <w:szCs w:val="21"/>
              </w:rPr>
            </w:pPr>
          </w:p>
        </w:tc>
        <w:tc>
          <w:tcPr>
            <w:tcW w:w="1134" w:type="dxa"/>
            <w:vMerge w:val="continue"/>
            <w:vAlign w:val="center"/>
          </w:tcPr>
          <w:p w14:paraId="05ACFEE9">
            <w:pPr>
              <w:widowControl/>
              <w:jc w:val="center"/>
              <w:rPr>
                <w:rFonts w:hint="eastAsia" w:ascii="宋体" w:hAnsi="宋体" w:cs="宋体"/>
                <w:kern w:val="0"/>
                <w:szCs w:val="21"/>
              </w:rPr>
            </w:pPr>
          </w:p>
        </w:tc>
        <w:tc>
          <w:tcPr>
            <w:tcW w:w="708" w:type="dxa"/>
            <w:vAlign w:val="center"/>
          </w:tcPr>
          <w:p w14:paraId="03D13D1A">
            <w:pPr>
              <w:widowControl/>
              <w:jc w:val="center"/>
              <w:rPr>
                <w:rFonts w:hint="eastAsia" w:ascii="宋体" w:hAnsi="宋体" w:cs="宋体"/>
                <w:kern w:val="0"/>
                <w:szCs w:val="21"/>
              </w:rPr>
            </w:pPr>
            <w:r>
              <w:rPr>
                <w:rFonts w:hint="eastAsia" w:ascii="宋体" w:hAnsi="宋体" w:cs="宋体"/>
                <w:kern w:val="0"/>
                <w:szCs w:val="21"/>
              </w:rPr>
              <w:t>2</w:t>
            </w:r>
          </w:p>
        </w:tc>
        <w:tc>
          <w:tcPr>
            <w:tcW w:w="7892" w:type="dxa"/>
            <w:vAlign w:val="center"/>
          </w:tcPr>
          <w:p w14:paraId="18059109">
            <w:pPr>
              <w:widowControl/>
              <w:snapToGrid w:val="0"/>
              <w:spacing w:beforeLines="0" w:afterLines="0"/>
              <w:jc w:val="center"/>
              <w:rPr>
                <w:rFonts w:hint="eastAsia" w:ascii="宋体" w:hAnsi="宋体" w:cs="宋体"/>
                <w:szCs w:val="21"/>
                <w:shd w:val="clear" w:color="auto" w:fill="FFFFFF"/>
              </w:rPr>
            </w:pPr>
            <w:r>
              <w:rPr>
                <w:rFonts w:hint="eastAsia" w:ascii="宋体" w:hAnsi="宋体" w:cs="宋体"/>
                <w:szCs w:val="21"/>
                <w:shd w:val="clear" w:color="auto" w:fill="FFFFFF"/>
              </w:rPr>
              <w:t>14</w:t>
            </w:r>
            <w:r>
              <w:rPr>
                <w:rFonts w:ascii="宋体" w:hAnsi="宋体" w:cs="宋体"/>
                <w:szCs w:val="21"/>
                <w:shd w:val="clear" w:color="auto" w:fill="FFFFFF"/>
              </w:rPr>
              <w:t>.</w:t>
            </w:r>
            <w:r>
              <w:rPr>
                <w:rFonts w:hint="eastAsia" w:ascii="宋体" w:hAnsi="宋体" w:cs="宋体"/>
                <w:szCs w:val="21"/>
                <w:shd w:val="clear" w:color="auto" w:fill="FFFFFF"/>
              </w:rPr>
              <w:t>资金管理</w:t>
            </w:r>
          </w:p>
          <w:p w14:paraId="33FE8006">
            <w:pPr>
              <w:widowControl/>
              <w:snapToGrid w:val="0"/>
              <w:spacing w:beforeLines="0" w:afterLines="0"/>
              <w:jc w:val="center"/>
              <w:rPr>
                <w:rFonts w:ascii="宋体" w:hAnsi="宋体" w:cs="宋体"/>
                <w:kern w:val="0"/>
                <w:szCs w:val="21"/>
              </w:rPr>
            </w:pPr>
            <w:r>
              <w:rPr>
                <w:rFonts w:hint="eastAsia" w:ascii="宋体" w:hAnsi="宋体" w:cs="宋体"/>
                <w:kern w:val="0"/>
                <w:szCs w:val="21"/>
              </w:rPr>
              <w:t>（1）补助经费落实（1分）。按照国家规定的补助标准足额落实：得1分；未足额落实：0分。金额数据保留两位小数。</w:t>
            </w:r>
          </w:p>
          <w:p w14:paraId="7EE5E28D">
            <w:pPr>
              <w:widowControl/>
              <w:snapToGrid w:val="0"/>
              <w:spacing w:beforeLines="0" w:afterLines="0"/>
              <w:jc w:val="center"/>
              <w:rPr>
                <w:rFonts w:ascii="宋体" w:hAnsi="宋体" w:cs="宋体"/>
                <w:kern w:val="0"/>
                <w:szCs w:val="21"/>
              </w:rPr>
            </w:pPr>
            <w:r>
              <w:rPr>
                <w:rFonts w:hint="eastAsia" w:ascii="宋体" w:hAnsi="宋体" w:cs="宋体"/>
                <w:kern w:val="0"/>
                <w:szCs w:val="21"/>
              </w:rPr>
              <w:t>（2）资金到位率（</w:t>
            </w:r>
            <w:r>
              <w:rPr>
                <w:rFonts w:ascii="宋体" w:hAnsi="宋体" w:cs="宋体"/>
                <w:kern w:val="0"/>
                <w:szCs w:val="21"/>
              </w:rPr>
              <w:t>0.5</w:t>
            </w:r>
            <w:r>
              <w:rPr>
                <w:rFonts w:hint="eastAsia" w:ascii="宋体" w:hAnsi="宋体" w:cs="宋体"/>
                <w:kern w:val="0"/>
                <w:szCs w:val="21"/>
              </w:rPr>
              <w:t>分）</w:t>
            </w:r>
          </w:p>
          <w:p w14:paraId="1AC19DFC">
            <w:pPr>
              <w:widowControl/>
              <w:snapToGrid w:val="0"/>
              <w:spacing w:beforeLines="0" w:afterLines="0"/>
              <w:jc w:val="center"/>
              <w:rPr>
                <w:rFonts w:ascii="宋体" w:hAnsi="宋体" w:cs="宋体"/>
                <w:kern w:val="0"/>
                <w:szCs w:val="21"/>
              </w:rPr>
            </w:pPr>
            <w:r>
              <w:rPr>
                <w:rFonts w:hint="eastAsia" w:ascii="宋体" w:hAnsi="宋体" w:cs="宋体"/>
                <w:kern w:val="0"/>
                <w:szCs w:val="21"/>
              </w:rPr>
              <w:t>①区级财政部门在2019年3月31日前下达中央、市级提前告知的2019年度基本公共卫生服务项目资金，满分0.25分；</w:t>
            </w:r>
          </w:p>
          <w:p w14:paraId="562B77DE">
            <w:pPr>
              <w:widowControl/>
              <w:snapToGrid w:val="0"/>
              <w:spacing w:beforeLines="0" w:afterLines="0"/>
              <w:jc w:val="center"/>
              <w:rPr>
                <w:rFonts w:hint="eastAsia" w:ascii="宋体" w:hAnsi="宋体" w:cs="宋体"/>
                <w:kern w:val="0"/>
                <w:szCs w:val="21"/>
              </w:rPr>
            </w:pPr>
            <w:r>
              <w:rPr>
                <w:rFonts w:hint="eastAsia" w:ascii="宋体" w:hAnsi="宋体" w:cs="宋体"/>
                <w:kern w:val="0"/>
                <w:szCs w:val="21"/>
              </w:rPr>
              <w:t>②2019年12月31日前区级财政部门下达中央补助2018年基本公共卫生服务项目结算资金，0.25分。</w:t>
            </w:r>
          </w:p>
          <w:p w14:paraId="74CCC0A5">
            <w:pPr>
              <w:widowControl/>
              <w:snapToGrid w:val="0"/>
              <w:spacing w:beforeLines="0" w:afterLines="0"/>
              <w:jc w:val="center"/>
              <w:rPr>
                <w:rFonts w:hint="eastAsia" w:ascii="宋体" w:hAnsi="宋体" w:cs="宋体"/>
                <w:kern w:val="0"/>
                <w:szCs w:val="21"/>
              </w:rPr>
            </w:pPr>
            <w:r>
              <w:rPr>
                <w:rFonts w:hint="eastAsia" w:ascii="宋体" w:hAnsi="宋体" w:cs="宋体"/>
                <w:kern w:val="0"/>
                <w:szCs w:val="21"/>
              </w:rPr>
              <w:t>（3）预算执行率（</w:t>
            </w:r>
            <w:r>
              <w:rPr>
                <w:rFonts w:ascii="宋体" w:hAnsi="宋体" w:cs="宋体"/>
                <w:kern w:val="0"/>
                <w:szCs w:val="21"/>
              </w:rPr>
              <w:t>0.5</w:t>
            </w:r>
            <w:r>
              <w:rPr>
                <w:rFonts w:hint="eastAsia" w:ascii="宋体" w:hAnsi="宋体" w:cs="宋体"/>
                <w:kern w:val="0"/>
                <w:szCs w:val="21"/>
              </w:rPr>
              <w:t>分）。得分=预算执行率×0.5分；</w:t>
            </w:r>
          </w:p>
        </w:tc>
        <w:tc>
          <w:tcPr>
            <w:tcW w:w="2334" w:type="dxa"/>
            <w:vAlign w:val="center"/>
          </w:tcPr>
          <w:p w14:paraId="4FC3A335">
            <w:pPr>
              <w:widowControl/>
              <w:jc w:val="center"/>
              <w:rPr>
                <w:rFonts w:hint="eastAsia" w:ascii="宋体" w:hAnsi="宋体" w:cs="宋体"/>
                <w:kern w:val="0"/>
                <w:szCs w:val="21"/>
              </w:rPr>
            </w:pPr>
            <w:r>
              <w:rPr>
                <w:rFonts w:hint="eastAsia" w:ascii="宋体" w:hAnsi="宋体" w:cs="宋体"/>
                <w:kern w:val="0"/>
                <w:szCs w:val="21"/>
              </w:rPr>
              <w:t>各区提供材料。财务处提供考核结果</w:t>
            </w:r>
          </w:p>
        </w:tc>
      </w:tr>
      <w:tr w14:paraId="6EA20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4657E8BC">
            <w:pPr>
              <w:widowControl/>
              <w:jc w:val="center"/>
              <w:rPr>
                <w:rFonts w:ascii="宋体" w:hAnsi="宋体" w:cs="宋体"/>
                <w:kern w:val="0"/>
                <w:szCs w:val="21"/>
              </w:rPr>
            </w:pPr>
          </w:p>
        </w:tc>
        <w:tc>
          <w:tcPr>
            <w:tcW w:w="994" w:type="dxa"/>
            <w:vAlign w:val="center"/>
          </w:tcPr>
          <w:p w14:paraId="2C88183E">
            <w:pPr>
              <w:widowControl/>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中医药服务</w:t>
            </w: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分）</w:t>
            </w:r>
          </w:p>
        </w:tc>
        <w:tc>
          <w:tcPr>
            <w:tcW w:w="1134" w:type="dxa"/>
            <w:vAlign w:val="center"/>
          </w:tcPr>
          <w:p w14:paraId="76E229FF">
            <w:pPr>
              <w:widowControl/>
              <w:jc w:val="center"/>
              <w:rPr>
                <w:rFonts w:hint="eastAsia" w:ascii="宋体" w:hAnsi="宋体" w:cs="宋体"/>
                <w:kern w:val="0"/>
                <w:szCs w:val="21"/>
              </w:rPr>
            </w:pPr>
            <w:r>
              <w:rPr>
                <w:rFonts w:hint="eastAsia" w:ascii="宋体" w:hAnsi="宋体" w:cs="宋体"/>
                <w:kern w:val="0"/>
                <w:szCs w:val="21"/>
              </w:rPr>
              <w:t>中医药服务</w:t>
            </w: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分）</w:t>
            </w:r>
          </w:p>
        </w:tc>
        <w:tc>
          <w:tcPr>
            <w:tcW w:w="708" w:type="dxa"/>
            <w:vAlign w:val="center"/>
          </w:tcPr>
          <w:p w14:paraId="1AB72901">
            <w:pPr>
              <w:widowControl/>
              <w:jc w:val="center"/>
              <w:rPr>
                <w:rFonts w:hint="eastAsia" w:ascii="宋体" w:hAnsi="宋体" w:cs="宋体"/>
                <w:kern w:val="0"/>
                <w:szCs w:val="21"/>
              </w:rPr>
            </w:pPr>
            <w:r>
              <w:rPr>
                <w:rFonts w:hint="eastAsia" w:ascii="宋体" w:hAnsi="宋体" w:cs="宋体"/>
                <w:kern w:val="0"/>
                <w:szCs w:val="21"/>
              </w:rPr>
              <w:t>4</w:t>
            </w:r>
          </w:p>
        </w:tc>
        <w:tc>
          <w:tcPr>
            <w:tcW w:w="7892" w:type="dxa"/>
            <w:vAlign w:val="center"/>
          </w:tcPr>
          <w:p w14:paraId="4F7FF98D">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社区</w:t>
            </w:r>
            <w:r>
              <w:rPr>
                <w:rFonts w:ascii="宋体" w:hAnsi="宋体" w:cs="宋体"/>
                <w:kern w:val="0"/>
                <w:szCs w:val="21"/>
              </w:rPr>
              <w:t>卫生服务</w:t>
            </w:r>
            <w:r>
              <w:rPr>
                <w:rFonts w:hint="eastAsia" w:ascii="宋体" w:hAnsi="宋体" w:cs="宋体"/>
                <w:kern w:val="0"/>
                <w:szCs w:val="21"/>
              </w:rPr>
              <w:t>中心中医</w:t>
            </w:r>
            <w:r>
              <w:rPr>
                <w:rFonts w:ascii="宋体" w:hAnsi="宋体" w:cs="宋体"/>
                <w:kern w:val="0"/>
                <w:szCs w:val="21"/>
              </w:rPr>
              <w:t>诊疗人次</w:t>
            </w:r>
            <w:r>
              <w:rPr>
                <w:rFonts w:hint="eastAsia" w:ascii="宋体" w:hAnsi="宋体" w:cs="宋体"/>
                <w:kern w:val="0"/>
                <w:szCs w:val="21"/>
              </w:rPr>
              <w:t>占比（中医</w:t>
            </w:r>
            <w:r>
              <w:rPr>
                <w:rFonts w:ascii="宋体" w:hAnsi="宋体" w:cs="宋体"/>
                <w:kern w:val="0"/>
                <w:szCs w:val="21"/>
              </w:rPr>
              <w:t>诊疗人次</w:t>
            </w:r>
            <w:r>
              <w:rPr>
                <w:rFonts w:hint="eastAsia" w:ascii="宋体" w:hAnsi="宋体" w:cs="宋体"/>
                <w:kern w:val="0"/>
                <w:szCs w:val="21"/>
              </w:rPr>
              <w:t>/总</w:t>
            </w:r>
            <w:r>
              <w:rPr>
                <w:rFonts w:ascii="宋体" w:hAnsi="宋体" w:cs="宋体"/>
                <w:kern w:val="0"/>
                <w:szCs w:val="21"/>
              </w:rPr>
              <w:t>诊疗人次×100%</w:t>
            </w:r>
            <w:r>
              <w:rPr>
                <w:rFonts w:hint="eastAsia" w:ascii="宋体" w:hAnsi="宋体" w:cs="宋体"/>
                <w:kern w:val="0"/>
                <w:szCs w:val="21"/>
              </w:rPr>
              <w:t>）（1分）</w:t>
            </w:r>
          </w:p>
          <w:p w14:paraId="1E765FB2">
            <w:pPr>
              <w:widowControl/>
              <w:jc w:val="center"/>
              <w:rPr>
                <w:rFonts w:ascii="宋体" w:hAnsi="宋体" w:cs="宋体"/>
                <w:kern w:val="0"/>
                <w:szCs w:val="21"/>
              </w:rPr>
            </w:pPr>
            <w:r>
              <w:rPr>
                <w:rFonts w:hint="eastAsia" w:ascii="宋体" w:hAnsi="宋体" w:cs="宋体"/>
                <w:kern w:val="0"/>
                <w:szCs w:val="21"/>
              </w:rPr>
              <w:t>（1）201</w:t>
            </w:r>
            <w:r>
              <w:rPr>
                <w:rFonts w:ascii="宋体" w:hAnsi="宋体" w:cs="宋体"/>
                <w:kern w:val="0"/>
                <w:szCs w:val="21"/>
              </w:rPr>
              <w:t>9</w:t>
            </w:r>
            <w:r>
              <w:rPr>
                <w:rFonts w:hint="eastAsia" w:ascii="宋体" w:hAnsi="宋体" w:cs="宋体"/>
                <w:kern w:val="0"/>
                <w:szCs w:val="21"/>
              </w:rPr>
              <w:t>年本区社区卫生服务中心中医</w:t>
            </w:r>
            <w:r>
              <w:rPr>
                <w:rFonts w:ascii="宋体" w:hAnsi="宋体" w:cs="宋体"/>
                <w:kern w:val="0"/>
                <w:szCs w:val="21"/>
              </w:rPr>
              <w:t>诊疗人次</w:t>
            </w:r>
            <w:r>
              <w:rPr>
                <w:rFonts w:hint="eastAsia" w:ascii="宋体" w:hAnsi="宋体" w:cs="宋体"/>
                <w:kern w:val="0"/>
                <w:szCs w:val="21"/>
              </w:rPr>
              <w:t>占比≥25</w:t>
            </w:r>
            <w:r>
              <w:rPr>
                <w:rFonts w:ascii="宋体" w:hAnsi="宋体" w:cs="宋体"/>
                <w:kern w:val="0"/>
                <w:szCs w:val="21"/>
              </w:rPr>
              <w:t>%</w:t>
            </w:r>
            <w:r>
              <w:rPr>
                <w:rFonts w:hint="eastAsia" w:ascii="宋体" w:hAnsi="宋体" w:cs="宋体"/>
                <w:kern w:val="0"/>
                <w:szCs w:val="21"/>
              </w:rPr>
              <w:t>，或者</w:t>
            </w:r>
            <w:r>
              <w:rPr>
                <w:rFonts w:ascii="宋体" w:hAnsi="宋体" w:cs="宋体"/>
                <w:kern w:val="0"/>
                <w:szCs w:val="21"/>
              </w:rPr>
              <w:t>2019年</w:t>
            </w:r>
            <w:r>
              <w:rPr>
                <w:rFonts w:hint="eastAsia" w:ascii="宋体" w:hAnsi="宋体" w:cs="宋体"/>
                <w:kern w:val="0"/>
                <w:szCs w:val="21"/>
              </w:rPr>
              <w:t>社区卫生服务中心中医</w:t>
            </w:r>
            <w:r>
              <w:rPr>
                <w:rFonts w:ascii="宋体" w:hAnsi="宋体" w:cs="宋体"/>
                <w:kern w:val="0"/>
                <w:szCs w:val="21"/>
              </w:rPr>
              <w:t>诊疗人次占比不低于本区上年度水平，得1分；</w:t>
            </w:r>
          </w:p>
          <w:p w14:paraId="17DB018D">
            <w:pPr>
              <w:widowControl/>
              <w:jc w:val="center"/>
              <w:rPr>
                <w:rFonts w:hint="eastAsia" w:ascii="宋体" w:hAnsi="宋体" w:cs="宋体"/>
                <w:kern w:val="0"/>
                <w:szCs w:val="21"/>
              </w:rPr>
            </w:pPr>
            <w:r>
              <w:rPr>
                <w:rFonts w:hint="eastAsia" w:ascii="宋体" w:hAnsi="宋体" w:cs="宋体"/>
                <w:kern w:val="0"/>
                <w:szCs w:val="21"/>
              </w:rPr>
              <w:t>（2）201</w:t>
            </w:r>
            <w:r>
              <w:rPr>
                <w:rFonts w:ascii="宋体" w:hAnsi="宋体" w:cs="宋体"/>
                <w:kern w:val="0"/>
                <w:szCs w:val="21"/>
              </w:rPr>
              <w:t>9</w:t>
            </w:r>
            <w:r>
              <w:rPr>
                <w:rFonts w:hint="eastAsia" w:ascii="宋体" w:hAnsi="宋体" w:cs="宋体"/>
                <w:kern w:val="0"/>
                <w:szCs w:val="21"/>
              </w:rPr>
              <w:t>年本区社区卫生服务中心中医</w:t>
            </w:r>
            <w:r>
              <w:rPr>
                <w:rFonts w:ascii="宋体" w:hAnsi="宋体" w:cs="宋体"/>
                <w:kern w:val="0"/>
                <w:szCs w:val="21"/>
              </w:rPr>
              <w:t>诊疗人次</w:t>
            </w:r>
            <w:r>
              <w:rPr>
                <w:rFonts w:hint="eastAsia" w:ascii="宋体" w:hAnsi="宋体" w:cs="宋体"/>
                <w:kern w:val="0"/>
                <w:szCs w:val="21"/>
              </w:rPr>
              <w:t>占比/201</w:t>
            </w:r>
            <w:r>
              <w:rPr>
                <w:rFonts w:ascii="宋体" w:hAnsi="宋体" w:cs="宋体"/>
                <w:kern w:val="0"/>
                <w:szCs w:val="21"/>
              </w:rPr>
              <w:t>8</w:t>
            </w:r>
            <w:r>
              <w:rPr>
                <w:rFonts w:hint="eastAsia" w:ascii="宋体" w:hAnsi="宋体" w:cs="宋体"/>
                <w:kern w:val="0"/>
                <w:szCs w:val="21"/>
              </w:rPr>
              <w:t>年本区社区卫生服务中心中医</w:t>
            </w:r>
            <w:r>
              <w:rPr>
                <w:rFonts w:ascii="宋体" w:hAnsi="宋体" w:cs="宋体"/>
                <w:kern w:val="0"/>
                <w:szCs w:val="21"/>
              </w:rPr>
              <w:t>诊疗人次</w:t>
            </w:r>
            <w:r>
              <w:rPr>
                <w:rFonts w:hint="eastAsia" w:ascii="宋体" w:hAnsi="宋体" w:cs="宋体"/>
                <w:kern w:val="0"/>
                <w:szCs w:val="21"/>
              </w:rPr>
              <w:t>占比＜</w:t>
            </w:r>
            <w:r>
              <w:rPr>
                <w:rFonts w:ascii="宋体" w:hAnsi="宋体" w:cs="宋体"/>
                <w:kern w:val="0"/>
                <w:szCs w:val="21"/>
              </w:rPr>
              <w:t>1</w:t>
            </w:r>
            <w:r>
              <w:rPr>
                <w:rFonts w:hint="eastAsia" w:ascii="宋体" w:hAnsi="宋体" w:cs="宋体"/>
                <w:kern w:val="0"/>
                <w:szCs w:val="21"/>
              </w:rPr>
              <w:t>，计算结果即为分值。</w:t>
            </w:r>
          </w:p>
          <w:p w14:paraId="25D35DC5">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社区</w:t>
            </w:r>
            <w:r>
              <w:rPr>
                <w:rFonts w:ascii="宋体" w:hAnsi="宋体" w:cs="宋体"/>
                <w:kern w:val="0"/>
                <w:szCs w:val="21"/>
              </w:rPr>
              <w:t>卫生服务中心</w:t>
            </w:r>
            <w:r>
              <w:rPr>
                <w:rFonts w:hint="eastAsia" w:ascii="宋体" w:hAnsi="宋体" w:cs="宋体"/>
                <w:kern w:val="0"/>
                <w:szCs w:val="21"/>
              </w:rPr>
              <w:t>门诊</w:t>
            </w:r>
            <w:r>
              <w:rPr>
                <w:rFonts w:ascii="宋体" w:hAnsi="宋体" w:cs="宋体"/>
                <w:kern w:val="0"/>
                <w:szCs w:val="21"/>
              </w:rPr>
              <w:t>中医非药物疗法诊疗人次占比</w:t>
            </w:r>
            <w:r>
              <w:rPr>
                <w:rFonts w:hint="eastAsia" w:ascii="宋体" w:hAnsi="宋体" w:cs="宋体"/>
                <w:kern w:val="0"/>
                <w:szCs w:val="21"/>
              </w:rPr>
              <w:t>（门诊中医非</w:t>
            </w:r>
            <w:r>
              <w:rPr>
                <w:rFonts w:ascii="宋体" w:hAnsi="宋体" w:cs="宋体"/>
                <w:kern w:val="0"/>
                <w:szCs w:val="21"/>
              </w:rPr>
              <w:t>药物</w:t>
            </w:r>
            <w:r>
              <w:rPr>
                <w:rFonts w:hint="eastAsia" w:ascii="宋体" w:hAnsi="宋体" w:cs="宋体"/>
                <w:kern w:val="0"/>
                <w:szCs w:val="21"/>
              </w:rPr>
              <w:t>疗法</w:t>
            </w:r>
            <w:r>
              <w:rPr>
                <w:rFonts w:ascii="宋体" w:hAnsi="宋体" w:cs="宋体"/>
                <w:kern w:val="0"/>
                <w:szCs w:val="21"/>
              </w:rPr>
              <w:t>诊疗人次</w:t>
            </w:r>
            <w:r>
              <w:rPr>
                <w:rFonts w:hint="eastAsia" w:ascii="宋体" w:hAnsi="宋体" w:cs="宋体"/>
                <w:kern w:val="0"/>
                <w:szCs w:val="21"/>
              </w:rPr>
              <w:t>/总</w:t>
            </w:r>
            <w:r>
              <w:rPr>
                <w:rFonts w:ascii="宋体" w:hAnsi="宋体" w:cs="宋体"/>
                <w:kern w:val="0"/>
                <w:szCs w:val="21"/>
              </w:rPr>
              <w:t>诊疗人次×100%</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1分</w:t>
            </w:r>
            <w:r>
              <w:rPr>
                <w:rFonts w:ascii="宋体" w:hAnsi="宋体" w:cs="宋体"/>
                <w:kern w:val="0"/>
                <w:szCs w:val="21"/>
              </w:rPr>
              <w:t>）</w:t>
            </w:r>
          </w:p>
          <w:p w14:paraId="5E412298">
            <w:pPr>
              <w:widowControl/>
              <w:jc w:val="center"/>
              <w:rPr>
                <w:rFonts w:ascii="宋体" w:hAnsi="宋体" w:cs="宋体"/>
                <w:kern w:val="0"/>
                <w:szCs w:val="21"/>
              </w:rPr>
            </w:pPr>
            <w:r>
              <w:rPr>
                <w:rFonts w:hint="eastAsia" w:ascii="宋体" w:hAnsi="宋体" w:cs="宋体"/>
                <w:kern w:val="0"/>
                <w:szCs w:val="21"/>
              </w:rPr>
              <w:t>（1）201</w:t>
            </w:r>
            <w:r>
              <w:rPr>
                <w:rFonts w:ascii="宋体" w:hAnsi="宋体" w:cs="宋体"/>
                <w:kern w:val="0"/>
                <w:szCs w:val="21"/>
              </w:rPr>
              <w:t>9</w:t>
            </w:r>
            <w:r>
              <w:rPr>
                <w:rFonts w:hint="eastAsia" w:ascii="宋体" w:hAnsi="宋体" w:cs="宋体"/>
                <w:kern w:val="0"/>
                <w:szCs w:val="21"/>
              </w:rPr>
              <w:t>年本区社区卫生服务中心门诊</w:t>
            </w:r>
            <w:r>
              <w:rPr>
                <w:rFonts w:ascii="宋体" w:hAnsi="宋体" w:cs="宋体"/>
                <w:kern w:val="0"/>
                <w:szCs w:val="21"/>
              </w:rPr>
              <w:t>中医非药物疗法诊疗人次占比</w:t>
            </w: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或者占比不低于本区上年度水平，得1分；</w:t>
            </w:r>
          </w:p>
          <w:p w14:paraId="302FCAC3">
            <w:pPr>
              <w:widowControl/>
              <w:jc w:val="center"/>
              <w:rPr>
                <w:rFonts w:hint="eastAsia" w:ascii="宋体" w:hAnsi="宋体" w:cs="宋体"/>
                <w:kern w:val="0"/>
                <w:szCs w:val="21"/>
              </w:rPr>
            </w:pPr>
            <w:r>
              <w:rPr>
                <w:rFonts w:hint="eastAsia" w:ascii="宋体" w:hAnsi="宋体" w:cs="宋体"/>
                <w:kern w:val="0"/>
                <w:szCs w:val="21"/>
              </w:rPr>
              <w:t>（2）201</w:t>
            </w:r>
            <w:r>
              <w:rPr>
                <w:rFonts w:ascii="宋体" w:hAnsi="宋体" w:cs="宋体"/>
                <w:kern w:val="0"/>
                <w:szCs w:val="21"/>
              </w:rPr>
              <w:t>9</w:t>
            </w:r>
            <w:r>
              <w:rPr>
                <w:rFonts w:hint="eastAsia" w:ascii="宋体" w:hAnsi="宋体" w:cs="宋体"/>
                <w:kern w:val="0"/>
                <w:szCs w:val="21"/>
              </w:rPr>
              <w:t>年本区社区卫生服务中心门诊</w:t>
            </w:r>
            <w:r>
              <w:rPr>
                <w:rFonts w:ascii="宋体" w:hAnsi="宋体" w:cs="宋体"/>
                <w:kern w:val="0"/>
                <w:szCs w:val="21"/>
              </w:rPr>
              <w:t>中医非药物疗法诊疗人次占比</w:t>
            </w:r>
            <w:r>
              <w:rPr>
                <w:rFonts w:hint="eastAsia" w:ascii="宋体" w:hAnsi="宋体" w:cs="宋体"/>
                <w:kern w:val="0"/>
                <w:szCs w:val="21"/>
              </w:rPr>
              <w:t>/201</w:t>
            </w:r>
            <w:r>
              <w:rPr>
                <w:rFonts w:ascii="宋体" w:hAnsi="宋体" w:cs="宋体"/>
                <w:kern w:val="0"/>
                <w:szCs w:val="21"/>
              </w:rPr>
              <w:t>8</w:t>
            </w:r>
            <w:r>
              <w:rPr>
                <w:rFonts w:hint="eastAsia" w:ascii="宋体" w:hAnsi="宋体" w:cs="宋体"/>
                <w:kern w:val="0"/>
                <w:szCs w:val="21"/>
              </w:rPr>
              <w:t>年本区社区卫生服务中心门诊</w:t>
            </w:r>
            <w:r>
              <w:rPr>
                <w:rFonts w:ascii="宋体" w:hAnsi="宋体" w:cs="宋体"/>
                <w:kern w:val="0"/>
                <w:szCs w:val="21"/>
              </w:rPr>
              <w:t>中医非药物疗法诊疗人次占比</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，计算结果即为分值。</w:t>
            </w:r>
          </w:p>
          <w:p w14:paraId="19750D76">
            <w:pPr>
              <w:widowControl/>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社区</w:t>
            </w:r>
            <w:r>
              <w:rPr>
                <w:rFonts w:ascii="宋体" w:hAnsi="宋体" w:cs="宋体"/>
                <w:kern w:val="0"/>
                <w:szCs w:val="21"/>
              </w:rPr>
              <w:t>卫生服务中心</w:t>
            </w:r>
            <w:r>
              <w:rPr>
                <w:rFonts w:hint="eastAsia" w:ascii="宋体" w:hAnsi="宋体" w:cs="宋体"/>
                <w:kern w:val="0"/>
                <w:szCs w:val="21"/>
              </w:rPr>
              <w:t>中医馆</w:t>
            </w:r>
            <w:r>
              <w:rPr>
                <w:rFonts w:ascii="宋体" w:hAnsi="宋体" w:cs="宋体"/>
                <w:kern w:val="0"/>
                <w:szCs w:val="21"/>
              </w:rPr>
              <w:t>设置</w:t>
            </w:r>
            <w:r>
              <w:rPr>
                <w:rFonts w:hint="eastAsia" w:ascii="宋体" w:hAnsi="宋体" w:cs="宋体"/>
                <w:kern w:val="0"/>
                <w:szCs w:val="21"/>
              </w:rPr>
              <w:t>情况（1分）：</w:t>
            </w:r>
          </w:p>
          <w:p w14:paraId="38640C09">
            <w:pPr>
              <w:widowControl/>
              <w:jc w:val="center"/>
              <w:rPr>
                <w:rFonts w:hint="eastAsia" w:ascii="宋体" w:hAnsi="宋体" w:cs="宋体"/>
                <w:kern w:val="0"/>
                <w:szCs w:val="21"/>
              </w:rPr>
            </w:pPr>
            <w:r>
              <w:rPr>
                <w:rFonts w:hint="eastAsia" w:ascii="宋体" w:hAnsi="宋体" w:cs="宋体"/>
                <w:kern w:val="0"/>
                <w:szCs w:val="21"/>
              </w:rPr>
              <w:t>区100</w:t>
            </w:r>
            <w:r>
              <w:rPr>
                <w:rFonts w:ascii="宋体" w:hAnsi="宋体" w:cs="宋体"/>
                <w:kern w:val="0"/>
                <w:szCs w:val="21"/>
              </w:rPr>
              <w:t>%</w:t>
            </w:r>
            <w:r>
              <w:rPr>
                <w:rFonts w:hint="eastAsia" w:ascii="宋体" w:hAnsi="宋体" w:cs="宋体"/>
                <w:kern w:val="0"/>
                <w:szCs w:val="21"/>
              </w:rPr>
              <w:t>社区</w:t>
            </w:r>
            <w:r>
              <w:rPr>
                <w:rFonts w:ascii="宋体" w:hAnsi="宋体" w:cs="宋体"/>
                <w:kern w:val="0"/>
                <w:szCs w:val="21"/>
              </w:rPr>
              <w:t>卫生服务中心</w:t>
            </w:r>
            <w:r>
              <w:rPr>
                <w:rFonts w:hint="eastAsia" w:ascii="宋体" w:hAnsi="宋体" w:cs="宋体"/>
                <w:kern w:val="0"/>
                <w:szCs w:val="21"/>
              </w:rPr>
              <w:t>设置</w:t>
            </w:r>
            <w:r>
              <w:rPr>
                <w:rFonts w:ascii="宋体" w:hAnsi="宋体" w:cs="宋体"/>
                <w:kern w:val="0"/>
                <w:szCs w:val="21"/>
              </w:rPr>
              <w:t>中医馆</w:t>
            </w:r>
            <w:r>
              <w:rPr>
                <w:rFonts w:hint="eastAsia" w:ascii="宋体" w:hAnsi="宋体" w:cs="宋体"/>
                <w:kern w:val="0"/>
                <w:szCs w:val="21"/>
              </w:rPr>
              <w:t>，</w:t>
            </w:r>
            <w:r>
              <w:rPr>
                <w:rFonts w:ascii="宋体" w:hAnsi="宋体" w:cs="宋体"/>
                <w:kern w:val="0"/>
                <w:szCs w:val="21"/>
              </w:rPr>
              <w:t>得</w:t>
            </w:r>
            <w:r>
              <w:rPr>
                <w:rFonts w:hint="eastAsia" w:ascii="宋体" w:hAnsi="宋体" w:cs="宋体"/>
                <w:kern w:val="0"/>
                <w:szCs w:val="21"/>
              </w:rPr>
              <w:t>1分；</w:t>
            </w:r>
            <w:r>
              <w:rPr>
                <w:rFonts w:ascii="宋体" w:hAnsi="宋体" w:cs="宋体"/>
                <w:kern w:val="0"/>
                <w:szCs w:val="21"/>
              </w:rPr>
              <w:t>设置中医馆的社区卫生服务中心</w:t>
            </w:r>
            <w:r>
              <w:rPr>
                <w:rFonts w:hint="eastAsia" w:ascii="宋体" w:hAnsi="宋体" w:cs="宋体"/>
                <w:kern w:val="0"/>
                <w:szCs w:val="21"/>
              </w:rPr>
              <w:t>占</w:t>
            </w:r>
            <w:r>
              <w:rPr>
                <w:rFonts w:ascii="宋体" w:hAnsi="宋体" w:cs="宋体"/>
                <w:kern w:val="0"/>
                <w:szCs w:val="21"/>
              </w:rPr>
              <w:t>区社区卫生服务中心</w:t>
            </w:r>
            <w:r>
              <w:rPr>
                <w:rFonts w:hint="eastAsia" w:ascii="宋体" w:hAnsi="宋体" w:cs="宋体"/>
                <w:kern w:val="0"/>
                <w:szCs w:val="21"/>
              </w:rPr>
              <w:t>的比例＜100</w:t>
            </w:r>
            <w:r>
              <w:rPr>
                <w:rFonts w:ascii="宋体" w:hAnsi="宋体" w:cs="宋体"/>
                <w:kern w:val="0"/>
                <w:szCs w:val="21"/>
              </w:rPr>
              <w:t>%的，扣1分。</w:t>
            </w:r>
          </w:p>
          <w:p w14:paraId="031FBD7E">
            <w:pPr>
              <w:widowControl/>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.社区卫生服务中心</w:t>
            </w:r>
            <w:r>
              <w:rPr>
                <w:rFonts w:hint="eastAsia" w:ascii="宋体" w:hAnsi="宋体" w:cs="宋体"/>
                <w:kern w:val="0"/>
                <w:szCs w:val="21"/>
              </w:rPr>
              <w:t>中医</w:t>
            </w:r>
            <w:r>
              <w:rPr>
                <w:rFonts w:ascii="宋体" w:hAnsi="宋体" w:cs="宋体"/>
                <w:kern w:val="0"/>
                <w:szCs w:val="21"/>
              </w:rPr>
              <w:t>类别医师占比</w:t>
            </w:r>
            <w:r>
              <w:rPr>
                <w:rFonts w:hint="eastAsia" w:ascii="宋体" w:hAnsi="宋体" w:cs="宋体"/>
                <w:kern w:val="0"/>
                <w:szCs w:val="21"/>
              </w:rPr>
              <w:t>（区</w:t>
            </w:r>
            <w:r>
              <w:rPr>
                <w:rFonts w:ascii="宋体" w:hAnsi="宋体" w:cs="宋体"/>
                <w:kern w:val="0"/>
                <w:szCs w:val="21"/>
              </w:rPr>
              <w:t>社区卫生服务中心</w:t>
            </w:r>
            <w:r>
              <w:rPr>
                <w:rFonts w:hint="eastAsia" w:ascii="宋体" w:hAnsi="宋体" w:cs="宋体"/>
                <w:kern w:val="0"/>
                <w:szCs w:val="21"/>
              </w:rPr>
              <w:t>中医</w:t>
            </w:r>
            <w:r>
              <w:rPr>
                <w:rFonts w:ascii="宋体" w:hAnsi="宋体" w:cs="宋体"/>
                <w:kern w:val="0"/>
                <w:szCs w:val="21"/>
              </w:rPr>
              <w:t>类别</w:t>
            </w:r>
            <w:r>
              <w:rPr>
                <w:rFonts w:hint="eastAsia" w:ascii="宋体" w:hAnsi="宋体" w:cs="宋体"/>
                <w:kern w:val="0"/>
                <w:szCs w:val="21"/>
              </w:rPr>
              <w:t>执业</w:t>
            </w:r>
            <w:r>
              <w:rPr>
                <w:rFonts w:ascii="宋体" w:hAnsi="宋体" w:cs="宋体"/>
                <w:kern w:val="0"/>
                <w:szCs w:val="21"/>
              </w:rPr>
              <w:t>（</w:t>
            </w:r>
            <w:r>
              <w:rPr>
                <w:rFonts w:hint="eastAsia" w:ascii="宋体" w:hAnsi="宋体" w:cs="宋体"/>
                <w:kern w:val="0"/>
                <w:szCs w:val="21"/>
              </w:rPr>
              <w:t>助理</w:t>
            </w:r>
            <w:r>
              <w:rPr>
                <w:rFonts w:ascii="宋体" w:hAnsi="宋体" w:cs="宋体"/>
                <w:kern w:val="0"/>
                <w:szCs w:val="21"/>
              </w:rPr>
              <w:t>）</w:t>
            </w:r>
            <w:r>
              <w:rPr>
                <w:rFonts w:hint="eastAsia" w:ascii="宋体" w:hAnsi="宋体" w:cs="宋体"/>
                <w:kern w:val="0"/>
                <w:szCs w:val="21"/>
              </w:rPr>
              <w:t>医师数/区</w:t>
            </w:r>
            <w:r>
              <w:rPr>
                <w:rFonts w:ascii="宋体" w:hAnsi="宋体" w:cs="宋体"/>
                <w:kern w:val="0"/>
                <w:szCs w:val="21"/>
              </w:rPr>
              <w:t>社区卫生服务中心执业（</w:t>
            </w:r>
            <w:r>
              <w:rPr>
                <w:rFonts w:hint="eastAsia" w:ascii="宋体" w:hAnsi="宋体" w:cs="宋体"/>
                <w:kern w:val="0"/>
                <w:szCs w:val="21"/>
              </w:rPr>
              <w:t>助理</w:t>
            </w:r>
            <w:r>
              <w:rPr>
                <w:rFonts w:ascii="宋体" w:hAnsi="宋体" w:cs="宋体"/>
                <w:kern w:val="0"/>
                <w:szCs w:val="21"/>
              </w:rPr>
              <w:t>）</w:t>
            </w:r>
            <w:r>
              <w:rPr>
                <w:rFonts w:hint="eastAsia" w:ascii="宋体" w:hAnsi="宋体" w:cs="宋体"/>
                <w:kern w:val="0"/>
                <w:szCs w:val="21"/>
              </w:rPr>
              <w:t>医师总数）（1分）</w:t>
            </w:r>
          </w:p>
          <w:p w14:paraId="6174D8F0">
            <w:pPr>
              <w:widowControl/>
              <w:jc w:val="center"/>
              <w:rPr>
                <w:rFonts w:hint="eastAsia" w:ascii="宋体" w:hAnsi="宋体" w:cs="宋体"/>
                <w:kern w:val="0"/>
                <w:szCs w:val="21"/>
              </w:rPr>
            </w:pPr>
            <w:r>
              <w:rPr>
                <w:rFonts w:hint="eastAsia" w:ascii="宋体" w:hAnsi="宋体" w:cs="宋体"/>
                <w:kern w:val="0"/>
                <w:szCs w:val="21"/>
              </w:rPr>
              <w:t>（1）2019年</w:t>
            </w:r>
            <w:r>
              <w:rPr>
                <w:rFonts w:ascii="宋体" w:hAnsi="宋体" w:cs="宋体"/>
                <w:kern w:val="0"/>
                <w:szCs w:val="21"/>
              </w:rPr>
              <w:t>本区社区卫生服务中心</w:t>
            </w:r>
            <w:r>
              <w:rPr>
                <w:rFonts w:hint="eastAsia" w:ascii="宋体" w:hAnsi="宋体" w:cs="宋体"/>
                <w:kern w:val="0"/>
                <w:szCs w:val="21"/>
              </w:rPr>
              <w:t>中医</w:t>
            </w:r>
            <w:r>
              <w:rPr>
                <w:rFonts w:ascii="宋体" w:hAnsi="宋体" w:cs="宋体"/>
                <w:kern w:val="0"/>
                <w:szCs w:val="21"/>
              </w:rPr>
              <w:t>类别医师占比</w:t>
            </w:r>
            <w:r>
              <w:rPr>
                <w:rFonts w:hint="eastAsia" w:ascii="宋体" w:hAnsi="宋体" w:cs="宋体"/>
                <w:kern w:val="0"/>
                <w:szCs w:val="21"/>
              </w:rPr>
              <w:t>≥25</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或者2019年</w:t>
            </w:r>
            <w:r>
              <w:rPr>
                <w:rFonts w:hint="eastAsia" w:ascii="宋体" w:hAnsi="宋体" w:cs="宋体"/>
                <w:kern w:val="0"/>
                <w:szCs w:val="21"/>
              </w:rPr>
              <w:t>门诊</w:t>
            </w:r>
            <w:r>
              <w:rPr>
                <w:rFonts w:ascii="宋体" w:hAnsi="宋体" w:cs="宋体"/>
                <w:kern w:val="0"/>
                <w:szCs w:val="21"/>
              </w:rPr>
              <w:t>中医非药物疗法诊疗</w:t>
            </w:r>
            <w:r>
              <w:rPr>
                <w:rFonts w:hint="eastAsia" w:ascii="宋体" w:hAnsi="宋体" w:cs="宋体"/>
                <w:kern w:val="0"/>
                <w:szCs w:val="21"/>
              </w:rPr>
              <w:t>人次</w:t>
            </w:r>
            <w:r>
              <w:rPr>
                <w:rFonts w:ascii="宋体" w:hAnsi="宋体" w:cs="宋体"/>
                <w:kern w:val="0"/>
                <w:szCs w:val="21"/>
              </w:rPr>
              <w:t>占比不低于本区上年度水平</w:t>
            </w:r>
            <w:r>
              <w:rPr>
                <w:rFonts w:hint="eastAsia" w:ascii="宋体" w:hAnsi="宋体" w:cs="宋体"/>
                <w:kern w:val="0"/>
                <w:szCs w:val="21"/>
              </w:rPr>
              <w:t>，得1分</w:t>
            </w:r>
          </w:p>
          <w:p w14:paraId="45067F1F">
            <w:pPr>
              <w:widowControl/>
              <w:jc w:val="center"/>
              <w:rPr>
                <w:rFonts w:hint="eastAsia" w:ascii="宋体" w:hAnsi="宋体" w:cs="宋体"/>
                <w:kern w:val="0"/>
                <w:szCs w:val="21"/>
              </w:rPr>
            </w:pPr>
            <w:r>
              <w:rPr>
                <w:rFonts w:hint="eastAsia" w:ascii="宋体" w:hAnsi="宋体" w:cs="宋体"/>
                <w:kern w:val="0"/>
                <w:szCs w:val="21"/>
              </w:rPr>
              <w:t>（2）2019年</w:t>
            </w:r>
            <w:r>
              <w:rPr>
                <w:rFonts w:ascii="宋体" w:hAnsi="宋体" w:cs="宋体"/>
                <w:kern w:val="0"/>
                <w:szCs w:val="21"/>
              </w:rPr>
              <w:t>本区社区卫生服务中心</w:t>
            </w:r>
            <w:r>
              <w:rPr>
                <w:rFonts w:hint="eastAsia" w:ascii="宋体" w:hAnsi="宋体" w:cs="宋体"/>
                <w:kern w:val="0"/>
                <w:szCs w:val="21"/>
              </w:rPr>
              <w:t>中医</w:t>
            </w:r>
            <w:r>
              <w:rPr>
                <w:rFonts w:ascii="宋体" w:hAnsi="宋体" w:cs="宋体"/>
                <w:kern w:val="0"/>
                <w:szCs w:val="21"/>
              </w:rPr>
              <w:t>类别医师占比</w:t>
            </w:r>
            <w:r>
              <w:rPr>
                <w:rFonts w:hint="eastAsia" w:ascii="宋体" w:hAnsi="宋体" w:cs="宋体"/>
                <w:kern w:val="0"/>
                <w:szCs w:val="21"/>
              </w:rPr>
              <w:t>/2018年</w:t>
            </w:r>
            <w:r>
              <w:rPr>
                <w:rFonts w:ascii="宋体" w:hAnsi="宋体" w:cs="宋体"/>
                <w:kern w:val="0"/>
                <w:szCs w:val="21"/>
              </w:rPr>
              <w:t>本区社区卫生服务中心</w:t>
            </w:r>
            <w:r>
              <w:rPr>
                <w:rFonts w:hint="eastAsia" w:ascii="宋体" w:hAnsi="宋体" w:cs="宋体"/>
                <w:kern w:val="0"/>
                <w:szCs w:val="21"/>
              </w:rPr>
              <w:t>中医</w:t>
            </w:r>
            <w:r>
              <w:rPr>
                <w:rFonts w:ascii="宋体" w:hAnsi="宋体" w:cs="宋体"/>
                <w:kern w:val="0"/>
                <w:szCs w:val="21"/>
              </w:rPr>
              <w:t>类别医师占比</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，计算结果即为分值。</w:t>
            </w:r>
          </w:p>
        </w:tc>
        <w:tc>
          <w:tcPr>
            <w:tcW w:w="2334" w:type="dxa"/>
            <w:vAlign w:val="center"/>
          </w:tcPr>
          <w:p w14:paraId="2AF600CB">
            <w:pPr>
              <w:widowControl/>
              <w:jc w:val="center"/>
              <w:rPr>
                <w:rFonts w:hint="eastAsia" w:ascii="宋体" w:hAnsi="宋体" w:cs="宋体"/>
                <w:kern w:val="0"/>
                <w:szCs w:val="21"/>
              </w:rPr>
            </w:pPr>
            <w:r>
              <w:rPr>
                <w:rFonts w:hint="eastAsia" w:ascii="宋体" w:hAnsi="宋体" w:cs="宋体"/>
                <w:kern w:val="0"/>
                <w:szCs w:val="21"/>
              </w:rPr>
              <w:t>中医管理局提供考核结果</w:t>
            </w:r>
          </w:p>
        </w:tc>
      </w:tr>
      <w:tr w14:paraId="3E7AF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0" w:hRule="atLeast"/>
          <w:jc w:val="center"/>
        </w:trPr>
        <w:tc>
          <w:tcPr>
            <w:tcW w:w="1282" w:type="dxa"/>
            <w:vMerge w:val="restart"/>
            <w:vAlign w:val="center"/>
          </w:tcPr>
          <w:p w14:paraId="6D4E3D47">
            <w:pPr>
              <w:widowControl/>
              <w:jc w:val="center"/>
              <w:rPr>
                <w:rFonts w:ascii="宋体" w:hAnsi="宋体" w:cs="宋体"/>
                <w:kern w:val="0"/>
                <w:szCs w:val="21"/>
              </w:rPr>
            </w:pPr>
            <w:r>
              <w:rPr>
                <w:rFonts w:hint="eastAsia" w:ascii="宋体" w:hAnsi="宋体" w:cs="宋体"/>
                <w:kern w:val="0"/>
                <w:szCs w:val="21"/>
              </w:rPr>
              <w:t>二.综合管理</w:t>
            </w:r>
            <w:r>
              <w:rPr>
                <w:rFonts w:ascii="宋体" w:hAnsi="宋体" w:cs="宋体"/>
                <w:kern w:val="0"/>
                <w:szCs w:val="21"/>
              </w:rPr>
              <w:t>（14分）</w:t>
            </w:r>
          </w:p>
        </w:tc>
        <w:tc>
          <w:tcPr>
            <w:tcW w:w="994" w:type="dxa"/>
            <w:vMerge w:val="restart"/>
            <w:vAlign w:val="center"/>
          </w:tcPr>
          <w:p w14:paraId="376D5BF9">
            <w:pPr>
              <w:widowControl/>
              <w:jc w:val="center"/>
              <w:rPr>
                <w:rFonts w:ascii="宋体" w:hAnsi="宋体" w:cs="宋体"/>
                <w:kern w:val="0"/>
                <w:szCs w:val="21"/>
              </w:rPr>
            </w:pPr>
            <w:r>
              <w:rPr>
                <w:rFonts w:ascii="宋体" w:hAnsi="宋体" w:cs="宋体"/>
                <w:kern w:val="0"/>
                <w:szCs w:val="21"/>
              </w:rPr>
              <w:t>4.家庭医生签约服务</w:t>
            </w:r>
            <w:r>
              <w:rPr>
                <w:rFonts w:hint="eastAsia" w:ascii="宋体" w:hAnsi="宋体" w:cs="宋体"/>
                <w:kern w:val="0"/>
                <w:szCs w:val="21"/>
              </w:rPr>
              <w:t>模式</w:t>
            </w:r>
            <w:r>
              <w:rPr>
                <w:rFonts w:ascii="宋体" w:hAnsi="宋体" w:cs="宋体"/>
                <w:kern w:val="0"/>
                <w:szCs w:val="21"/>
              </w:rPr>
              <w:t>（8分）</w:t>
            </w:r>
          </w:p>
        </w:tc>
        <w:tc>
          <w:tcPr>
            <w:tcW w:w="1134" w:type="dxa"/>
            <w:vAlign w:val="center"/>
          </w:tcPr>
          <w:p w14:paraId="281DE608">
            <w:pPr>
              <w:widowControl/>
              <w:jc w:val="center"/>
              <w:rPr>
                <w:rFonts w:ascii="宋体" w:hAnsi="宋体" w:cs="宋体"/>
                <w:kern w:val="0"/>
                <w:szCs w:val="21"/>
              </w:rPr>
            </w:pPr>
            <w:r>
              <w:rPr>
                <w:rFonts w:ascii="宋体" w:hAnsi="宋体" w:cs="宋体"/>
                <w:kern w:val="0"/>
                <w:szCs w:val="21"/>
              </w:rPr>
              <w:t>4.1</w:t>
            </w:r>
            <w:r>
              <w:rPr>
                <w:rFonts w:hint="eastAsia" w:ascii="宋体" w:hAnsi="宋体" w:cs="宋体"/>
                <w:kern w:val="0"/>
                <w:szCs w:val="21"/>
              </w:rPr>
              <w:t>签约任务完成情况</w:t>
            </w:r>
            <w:r>
              <w:rPr>
                <w:rFonts w:ascii="宋体" w:hAnsi="宋体" w:cs="宋体"/>
                <w:kern w:val="0"/>
                <w:szCs w:val="21"/>
              </w:rPr>
              <w:t>（4分）</w:t>
            </w:r>
          </w:p>
        </w:tc>
        <w:tc>
          <w:tcPr>
            <w:tcW w:w="708" w:type="dxa"/>
            <w:vAlign w:val="center"/>
          </w:tcPr>
          <w:p w14:paraId="48A59E15">
            <w:pPr>
              <w:widowControl/>
              <w:jc w:val="center"/>
              <w:rPr>
                <w:rFonts w:hint="eastAsia" w:ascii="宋体" w:hAnsi="宋体" w:cs="宋体"/>
                <w:kern w:val="0"/>
                <w:szCs w:val="21"/>
              </w:rPr>
            </w:pPr>
            <w:r>
              <w:rPr>
                <w:rFonts w:ascii="宋体" w:hAnsi="宋体" w:cs="宋体"/>
                <w:kern w:val="0"/>
                <w:szCs w:val="21"/>
              </w:rPr>
              <w:t>4</w:t>
            </w:r>
          </w:p>
        </w:tc>
        <w:tc>
          <w:tcPr>
            <w:tcW w:w="7892" w:type="dxa"/>
            <w:vAlign w:val="center"/>
          </w:tcPr>
          <w:p w14:paraId="020BBEC4">
            <w:pPr>
              <w:adjustRightInd w:val="0"/>
              <w:snapToGrid w:val="0"/>
              <w:jc w:val="center"/>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总签约率≥</w:t>
            </w:r>
            <w:r>
              <w:rPr>
                <w:rFonts w:ascii="宋体" w:hAnsi="宋体"/>
                <w:bCs/>
                <w:szCs w:val="21"/>
              </w:rPr>
              <w:t>35%</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分）</w:t>
            </w:r>
          </w:p>
          <w:p w14:paraId="2B75A16E">
            <w:pPr>
              <w:widowControl/>
              <w:jc w:val="center"/>
              <w:rPr>
                <w:rFonts w:ascii="宋体" w:hAnsi="宋体"/>
                <w:bCs/>
                <w:szCs w:val="21"/>
              </w:rPr>
            </w:pPr>
            <w:r>
              <w:rPr>
                <w:rFonts w:hint="eastAsia" w:ascii="宋体" w:hAnsi="宋体"/>
                <w:bCs/>
                <w:szCs w:val="21"/>
              </w:rPr>
              <w:t>签约率=本区签约居民总人数/本区常住人口数×100%。</w:t>
            </w:r>
          </w:p>
          <w:p w14:paraId="1BA6A5FD">
            <w:pPr>
              <w:widowControl/>
              <w:jc w:val="center"/>
              <w:rPr>
                <w:rFonts w:hint="eastAsia" w:ascii="宋体" w:hAnsi="宋体"/>
                <w:bCs/>
                <w:szCs w:val="21"/>
              </w:rPr>
            </w:pPr>
            <w:r>
              <w:rPr>
                <w:rFonts w:hint="eastAsia" w:ascii="宋体" w:hAnsi="宋体"/>
                <w:bCs/>
                <w:szCs w:val="21"/>
              </w:rPr>
              <w:t>≥</w:t>
            </w:r>
            <w:r>
              <w:rPr>
                <w:rFonts w:ascii="宋体" w:hAnsi="宋体"/>
                <w:bCs/>
                <w:szCs w:val="21"/>
              </w:rPr>
              <w:t>35%</w:t>
            </w:r>
            <w:r>
              <w:rPr>
                <w:rFonts w:hint="eastAsia" w:ascii="宋体" w:hAnsi="宋体"/>
                <w:bCs/>
                <w:szCs w:val="21"/>
              </w:rPr>
              <w:t>得满分，＜3</w:t>
            </w:r>
            <w:r>
              <w:rPr>
                <w:rFonts w:ascii="宋体" w:hAnsi="宋体"/>
                <w:bCs/>
                <w:szCs w:val="21"/>
              </w:rPr>
              <w:t>5</w:t>
            </w:r>
            <w:r>
              <w:rPr>
                <w:rFonts w:hint="eastAsia" w:ascii="宋体" w:hAnsi="宋体"/>
                <w:bCs/>
                <w:szCs w:val="21"/>
              </w:rPr>
              <w:t>%，按比例得分</w:t>
            </w:r>
          </w:p>
          <w:p w14:paraId="10BB417D">
            <w:pPr>
              <w:adjustRightInd w:val="0"/>
              <w:snapToGrid w:val="0"/>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重点人群签约率≥</w:t>
            </w:r>
            <w:r>
              <w:rPr>
                <w:rFonts w:ascii="宋体" w:hAnsi="宋体" w:cs="宋体"/>
                <w:kern w:val="0"/>
                <w:szCs w:val="21"/>
              </w:rPr>
              <w:t>90</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分）</w:t>
            </w:r>
          </w:p>
          <w:p w14:paraId="7A70430C">
            <w:pPr>
              <w:widowControl/>
              <w:jc w:val="center"/>
              <w:rPr>
                <w:rFonts w:ascii="宋体" w:hAnsi="宋体"/>
                <w:bCs/>
                <w:szCs w:val="21"/>
              </w:rPr>
            </w:pPr>
            <w:r>
              <w:rPr>
                <w:rFonts w:hint="eastAsia" w:ascii="宋体" w:hAnsi="宋体"/>
                <w:bCs/>
                <w:szCs w:val="21"/>
              </w:rPr>
              <w:t>重点人群签约率=本区签约重点人群总人数/本区重点人群总数×100%</w:t>
            </w:r>
          </w:p>
          <w:p w14:paraId="1D70DE77">
            <w:pPr>
              <w:widowControl/>
              <w:jc w:val="center"/>
              <w:rPr>
                <w:rFonts w:hint="eastAsia" w:ascii="宋体" w:hAnsi="宋体"/>
                <w:bCs/>
                <w:szCs w:val="21"/>
              </w:rPr>
            </w:pPr>
            <w:r>
              <w:rPr>
                <w:rFonts w:hint="eastAsia" w:ascii="宋体" w:hAnsi="宋体"/>
                <w:bCs/>
                <w:szCs w:val="21"/>
              </w:rPr>
              <w:t>≥</w:t>
            </w:r>
            <w:r>
              <w:rPr>
                <w:rFonts w:ascii="宋体" w:hAnsi="宋体"/>
                <w:bCs/>
                <w:szCs w:val="21"/>
              </w:rPr>
              <w:t>90%</w:t>
            </w:r>
            <w:r>
              <w:rPr>
                <w:rFonts w:hint="eastAsia" w:ascii="宋体" w:hAnsi="宋体"/>
                <w:bCs/>
                <w:szCs w:val="21"/>
              </w:rPr>
              <w:t>得满分，＜</w:t>
            </w:r>
            <w:r>
              <w:rPr>
                <w:rFonts w:ascii="宋体" w:hAnsi="宋体"/>
                <w:bCs/>
                <w:szCs w:val="21"/>
              </w:rPr>
              <w:t>90</w:t>
            </w:r>
            <w:r>
              <w:rPr>
                <w:rFonts w:hint="eastAsia" w:ascii="宋体" w:hAnsi="宋体"/>
                <w:bCs/>
                <w:szCs w:val="21"/>
              </w:rPr>
              <w:t>%，按比例得分</w:t>
            </w:r>
          </w:p>
        </w:tc>
        <w:tc>
          <w:tcPr>
            <w:tcW w:w="2334" w:type="dxa"/>
            <w:vAlign w:val="center"/>
          </w:tcPr>
          <w:p w14:paraId="1199B3B8">
            <w:pPr>
              <w:widowControl/>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64B1A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51" w:hRule="atLeast"/>
          <w:jc w:val="center"/>
        </w:trPr>
        <w:tc>
          <w:tcPr>
            <w:tcW w:w="1282" w:type="dxa"/>
            <w:vMerge w:val="continue"/>
            <w:tcBorders>
              <w:bottom w:val="single" w:color="000000" w:sz="8" w:space="0"/>
            </w:tcBorders>
            <w:vAlign w:val="center"/>
          </w:tcPr>
          <w:p w14:paraId="057CF973">
            <w:pPr>
              <w:widowControl/>
              <w:jc w:val="center"/>
              <w:rPr>
                <w:rFonts w:ascii="宋体" w:hAnsi="宋体" w:cs="宋体"/>
                <w:kern w:val="0"/>
                <w:szCs w:val="21"/>
              </w:rPr>
            </w:pPr>
          </w:p>
        </w:tc>
        <w:tc>
          <w:tcPr>
            <w:tcW w:w="994" w:type="dxa"/>
            <w:vMerge w:val="continue"/>
            <w:vAlign w:val="center"/>
          </w:tcPr>
          <w:p w14:paraId="40CF4834">
            <w:pPr>
              <w:widowControl/>
              <w:jc w:val="center"/>
              <w:rPr>
                <w:rFonts w:ascii="宋体" w:hAnsi="宋体" w:cs="宋体"/>
                <w:kern w:val="0"/>
                <w:szCs w:val="21"/>
              </w:rPr>
            </w:pPr>
          </w:p>
        </w:tc>
        <w:tc>
          <w:tcPr>
            <w:tcW w:w="1134" w:type="dxa"/>
            <w:vAlign w:val="center"/>
          </w:tcPr>
          <w:p w14:paraId="687C03CE">
            <w:pPr>
              <w:jc w:val="center"/>
              <w:rPr>
                <w:rFonts w:ascii="宋体" w:hAnsi="宋体" w:cs="宋体"/>
                <w:kern w:val="0"/>
                <w:szCs w:val="21"/>
              </w:rPr>
            </w:pPr>
            <w:r>
              <w:rPr>
                <w:rFonts w:ascii="宋体" w:hAnsi="宋体" w:cs="宋体"/>
                <w:kern w:val="0"/>
                <w:szCs w:val="21"/>
              </w:rPr>
              <w:t>4.2</w:t>
            </w:r>
            <w:r>
              <w:rPr>
                <w:rFonts w:hint="eastAsia" w:ascii="宋体" w:hAnsi="宋体" w:cs="宋体"/>
                <w:kern w:val="0"/>
                <w:szCs w:val="21"/>
              </w:rPr>
              <w:t>服务落实情况</w:t>
            </w:r>
            <w:r>
              <w:rPr>
                <w:rFonts w:ascii="宋体" w:hAnsi="宋体" w:cs="宋体"/>
                <w:kern w:val="0"/>
                <w:szCs w:val="21"/>
              </w:rPr>
              <w:t>（4分）</w:t>
            </w:r>
          </w:p>
        </w:tc>
        <w:tc>
          <w:tcPr>
            <w:tcW w:w="708" w:type="dxa"/>
            <w:vAlign w:val="center"/>
          </w:tcPr>
          <w:p w14:paraId="62CCF55D">
            <w:pPr>
              <w:jc w:val="center"/>
              <w:rPr>
                <w:rFonts w:ascii="宋体" w:hAnsi="宋体" w:cs="宋体"/>
                <w:kern w:val="0"/>
                <w:szCs w:val="21"/>
              </w:rPr>
            </w:pPr>
            <w:r>
              <w:rPr>
                <w:rFonts w:ascii="宋体" w:hAnsi="宋体" w:cs="宋体"/>
                <w:kern w:val="0"/>
                <w:szCs w:val="21"/>
              </w:rPr>
              <w:t>4</w:t>
            </w:r>
          </w:p>
        </w:tc>
        <w:tc>
          <w:tcPr>
            <w:tcW w:w="7892" w:type="dxa"/>
            <w:vAlign w:val="center"/>
          </w:tcPr>
          <w:p w14:paraId="1D858EB2">
            <w:pPr>
              <w:snapToGrid w:val="0"/>
              <w:jc w:val="center"/>
              <w:rPr>
                <w:rFonts w:ascii="宋体" w:hAnsi="宋体"/>
                <w:bCs/>
                <w:szCs w:val="21"/>
              </w:rPr>
            </w:pPr>
            <w:r>
              <w:rPr>
                <w:rFonts w:hint="eastAsia" w:ascii="宋体" w:hAnsi="宋体"/>
                <w:bCs/>
                <w:szCs w:val="21"/>
              </w:rPr>
              <w:t>1.居民平均签约服务受益量（</w:t>
            </w:r>
            <w:r>
              <w:rPr>
                <w:rFonts w:ascii="宋体" w:hAnsi="宋体"/>
                <w:bCs/>
                <w:szCs w:val="21"/>
              </w:rPr>
              <w:t>2</w:t>
            </w:r>
            <w:r>
              <w:rPr>
                <w:rFonts w:hint="eastAsia" w:ascii="宋体" w:hAnsi="宋体"/>
                <w:bCs/>
                <w:szCs w:val="21"/>
              </w:rPr>
              <w:t>分）=本区</w:t>
            </w:r>
            <w:r>
              <w:rPr>
                <w:rFonts w:ascii="宋体" w:hAnsi="宋体"/>
                <w:bCs/>
                <w:szCs w:val="21"/>
              </w:rPr>
              <w:t>签约服务人次数</w:t>
            </w:r>
            <w:r>
              <w:rPr>
                <w:rFonts w:hint="eastAsia" w:ascii="宋体" w:hAnsi="宋体"/>
                <w:bCs/>
                <w:szCs w:val="21"/>
              </w:rPr>
              <w:t>/本区签约总人数</w:t>
            </w:r>
          </w:p>
          <w:p w14:paraId="5E877485">
            <w:pPr>
              <w:snapToGrid w:val="0"/>
              <w:jc w:val="center"/>
              <w:rPr>
                <w:rFonts w:hint="eastAsia" w:ascii="宋体" w:hAnsi="宋体"/>
                <w:bCs/>
                <w:szCs w:val="21"/>
              </w:rPr>
            </w:pPr>
            <w:r>
              <w:rPr>
                <w:rFonts w:hint="eastAsia" w:ascii="宋体" w:hAnsi="宋体"/>
                <w:bCs/>
                <w:szCs w:val="21"/>
              </w:rPr>
              <w:t>①居民平均签约服务受益量≥4得</w:t>
            </w:r>
            <w:r>
              <w:rPr>
                <w:rFonts w:ascii="宋体" w:hAnsi="宋体"/>
                <w:bCs/>
                <w:szCs w:val="21"/>
              </w:rPr>
              <w:t>2</w:t>
            </w:r>
            <w:r>
              <w:rPr>
                <w:rFonts w:hint="eastAsia" w:ascii="宋体" w:hAnsi="宋体"/>
                <w:bCs/>
                <w:szCs w:val="21"/>
              </w:rPr>
              <w:t>分；②＜</w:t>
            </w:r>
            <w:r>
              <w:rPr>
                <w:rFonts w:ascii="宋体" w:hAnsi="宋体"/>
                <w:bCs/>
                <w:szCs w:val="21"/>
              </w:rPr>
              <w:t>4</w:t>
            </w:r>
            <w:r>
              <w:rPr>
                <w:rFonts w:hint="eastAsia" w:ascii="宋体" w:hAnsi="宋体"/>
                <w:bCs/>
                <w:szCs w:val="21"/>
              </w:rPr>
              <w:t>，得分=（区人均签约受益量/4）×</w:t>
            </w:r>
            <w:r>
              <w:rPr>
                <w:rFonts w:ascii="宋体" w:hAnsi="宋体"/>
                <w:bCs/>
                <w:szCs w:val="21"/>
              </w:rPr>
              <w:t>2</w:t>
            </w:r>
            <w:r>
              <w:rPr>
                <w:rFonts w:hint="eastAsia" w:ascii="宋体" w:hAnsi="宋体"/>
                <w:bCs/>
                <w:szCs w:val="21"/>
              </w:rPr>
              <w:t>分。</w:t>
            </w:r>
          </w:p>
          <w:p w14:paraId="29DA5305">
            <w:pPr>
              <w:snapToGrid w:val="0"/>
              <w:jc w:val="center"/>
              <w:rPr>
                <w:rFonts w:ascii="宋体" w:hAnsi="宋体"/>
                <w:bCs/>
                <w:szCs w:val="21"/>
              </w:rPr>
            </w:pPr>
            <w:r>
              <w:rPr>
                <w:rFonts w:hint="eastAsia" w:ascii="宋体" w:hAnsi="宋体"/>
                <w:bCs/>
                <w:szCs w:val="21"/>
              </w:rPr>
              <w:t>2.预约就诊率（</w:t>
            </w:r>
            <w:r>
              <w:rPr>
                <w:rFonts w:ascii="宋体" w:hAnsi="宋体"/>
                <w:bCs/>
                <w:szCs w:val="21"/>
              </w:rPr>
              <w:t>2</w:t>
            </w:r>
            <w:r>
              <w:rPr>
                <w:rFonts w:hint="eastAsia" w:ascii="宋体" w:hAnsi="宋体"/>
                <w:bCs/>
                <w:szCs w:val="21"/>
              </w:rPr>
              <w:t>分）=本区中心预约就诊总人次数/本区中心全科门诊总人次数。</w:t>
            </w:r>
          </w:p>
          <w:p w14:paraId="7F7BC35E">
            <w:pPr>
              <w:snapToGrid w:val="0"/>
              <w:jc w:val="center"/>
              <w:rPr>
                <w:rFonts w:ascii="宋体" w:hAnsi="宋体"/>
                <w:bCs/>
                <w:szCs w:val="21"/>
              </w:rPr>
            </w:pPr>
            <w:r>
              <w:rPr>
                <w:rFonts w:hint="eastAsia" w:ascii="宋体" w:hAnsi="宋体"/>
                <w:bCs/>
                <w:szCs w:val="21"/>
              </w:rPr>
              <w:t>①本区预约就诊率不低于本区上年度水平或全市201</w:t>
            </w:r>
            <w:r>
              <w:rPr>
                <w:rFonts w:ascii="宋体" w:hAnsi="宋体"/>
                <w:bCs/>
                <w:szCs w:val="21"/>
              </w:rPr>
              <w:t>9</w:t>
            </w:r>
            <w:r>
              <w:rPr>
                <w:rFonts w:hint="eastAsia" w:ascii="宋体" w:hAnsi="宋体"/>
                <w:bCs/>
                <w:szCs w:val="21"/>
              </w:rPr>
              <w:t>年全市平均水平,得</w:t>
            </w:r>
            <w:r>
              <w:rPr>
                <w:rFonts w:ascii="宋体" w:hAnsi="宋体"/>
                <w:bCs/>
                <w:szCs w:val="21"/>
              </w:rPr>
              <w:t>2</w:t>
            </w:r>
            <w:r>
              <w:rPr>
                <w:rFonts w:hint="eastAsia" w:ascii="宋体" w:hAnsi="宋体"/>
                <w:bCs/>
                <w:szCs w:val="21"/>
              </w:rPr>
              <w:t>分；</w:t>
            </w:r>
          </w:p>
          <w:p w14:paraId="12FE4173">
            <w:pPr>
              <w:widowControl/>
              <w:jc w:val="center"/>
              <w:rPr>
                <w:rFonts w:hint="eastAsia" w:ascii="宋体" w:hAnsi="宋体" w:cs="宋体"/>
                <w:kern w:val="0"/>
                <w:szCs w:val="21"/>
              </w:rPr>
            </w:pPr>
            <w:r>
              <w:rPr>
                <w:rFonts w:hint="eastAsia" w:ascii="宋体" w:hAnsi="宋体"/>
                <w:bCs/>
                <w:szCs w:val="21"/>
              </w:rPr>
              <w:t>②低于本区上年度水平且低于全市2018年平均水平，得分=</w:t>
            </w:r>
            <w:r>
              <w:rPr>
                <w:rFonts w:ascii="宋体" w:hAnsi="宋体"/>
                <w:bCs/>
                <w:szCs w:val="21"/>
              </w:rPr>
              <w:t>2</w:t>
            </w:r>
            <w:r>
              <w:rPr>
                <w:rFonts w:hint="eastAsia" w:ascii="宋体" w:hAnsi="宋体"/>
                <w:bCs/>
                <w:szCs w:val="21"/>
              </w:rPr>
              <w:t>-区下降比率×</w:t>
            </w:r>
            <w:r>
              <w:rPr>
                <w:rFonts w:ascii="宋体" w:hAnsi="宋体"/>
                <w:bCs/>
                <w:szCs w:val="21"/>
              </w:rPr>
              <w:t>2</w:t>
            </w:r>
            <w:r>
              <w:rPr>
                <w:rFonts w:hint="eastAsia" w:ascii="宋体" w:hAnsi="宋体"/>
                <w:bCs/>
                <w:szCs w:val="21"/>
              </w:rPr>
              <w:t>。</w:t>
            </w:r>
          </w:p>
        </w:tc>
        <w:tc>
          <w:tcPr>
            <w:tcW w:w="2334" w:type="dxa"/>
            <w:vAlign w:val="center"/>
          </w:tcPr>
          <w:p w14:paraId="2252368D">
            <w:pPr>
              <w:widowControl/>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63849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83" w:hRule="atLeast"/>
          <w:jc w:val="center"/>
        </w:trPr>
        <w:tc>
          <w:tcPr>
            <w:tcW w:w="1282" w:type="dxa"/>
            <w:vMerge w:val="continue"/>
            <w:tcBorders>
              <w:bottom w:val="single" w:color="000000" w:sz="8" w:space="0"/>
            </w:tcBorders>
            <w:vAlign w:val="center"/>
          </w:tcPr>
          <w:p w14:paraId="3F431F43">
            <w:pPr>
              <w:widowControl/>
              <w:jc w:val="center"/>
              <w:rPr>
                <w:rFonts w:ascii="宋体" w:hAnsi="宋体" w:cs="宋体"/>
                <w:kern w:val="0"/>
                <w:szCs w:val="21"/>
              </w:rPr>
            </w:pPr>
          </w:p>
        </w:tc>
        <w:tc>
          <w:tcPr>
            <w:tcW w:w="994" w:type="dxa"/>
            <w:vAlign w:val="center"/>
          </w:tcPr>
          <w:p w14:paraId="6620A9DA">
            <w:pPr>
              <w:widowControl/>
              <w:jc w:val="center"/>
              <w:rPr>
                <w:rFonts w:ascii="宋体" w:hAnsi="宋体" w:cs="宋体"/>
                <w:kern w:val="0"/>
                <w:szCs w:val="21"/>
              </w:rPr>
            </w:pPr>
            <w:r>
              <w:rPr>
                <w:rFonts w:ascii="宋体" w:hAnsi="宋体" w:cs="宋体"/>
                <w:kern w:val="0"/>
                <w:szCs w:val="21"/>
              </w:rPr>
              <w:t>5.家庭保健员培养（3分）</w:t>
            </w:r>
          </w:p>
        </w:tc>
        <w:tc>
          <w:tcPr>
            <w:tcW w:w="1134" w:type="dxa"/>
            <w:vAlign w:val="center"/>
          </w:tcPr>
          <w:p w14:paraId="370C4FE2">
            <w:pPr>
              <w:jc w:val="center"/>
              <w:rPr>
                <w:rFonts w:hint="eastAsia" w:ascii="宋体" w:hAnsi="宋体" w:cs="宋体"/>
                <w:kern w:val="0"/>
                <w:szCs w:val="21"/>
              </w:rPr>
            </w:pPr>
            <w:r>
              <w:rPr>
                <w:rFonts w:ascii="宋体" w:hAnsi="宋体" w:cs="宋体"/>
                <w:kern w:val="0"/>
                <w:szCs w:val="21"/>
              </w:rPr>
              <w:t>家庭保健员培养（3分）</w:t>
            </w:r>
          </w:p>
        </w:tc>
        <w:tc>
          <w:tcPr>
            <w:tcW w:w="708" w:type="dxa"/>
            <w:vAlign w:val="center"/>
          </w:tcPr>
          <w:p w14:paraId="0486E6AA">
            <w:pPr>
              <w:jc w:val="center"/>
              <w:rPr>
                <w:rFonts w:ascii="宋体" w:hAnsi="宋体" w:cs="宋体"/>
                <w:kern w:val="0"/>
                <w:szCs w:val="21"/>
              </w:rPr>
            </w:pPr>
            <w:r>
              <w:rPr>
                <w:rFonts w:ascii="宋体" w:hAnsi="宋体" w:cs="宋体"/>
                <w:kern w:val="0"/>
                <w:szCs w:val="21"/>
              </w:rPr>
              <w:t>3</w:t>
            </w:r>
          </w:p>
        </w:tc>
        <w:tc>
          <w:tcPr>
            <w:tcW w:w="7892" w:type="dxa"/>
            <w:vAlign w:val="center"/>
          </w:tcPr>
          <w:p w14:paraId="71387224">
            <w:pPr>
              <w:widowControl/>
              <w:jc w:val="center"/>
              <w:rPr>
                <w:rFonts w:ascii="宋体" w:hAnsi="宋体" w:cs="宋体"/>
                <w:kern w:val="0"/>
                <w:szCs w:val="21"/>
              </w:rPr>
            </w:pPr>
            <w:r>
              <w:rPr>
                <w:rFonts w:hint="eastAsia" w:ascii="宋体" w:hAnsi="宋体" w:cs="宋体"/>
                <w:kern w:val="0"/>
                <w:szCs w:val="21"/>
              </w:rPr>
              <w:t>根据各区2</w:t>
            </w:r>
            <w:r>
              <w:rPr>
                <w:rFonts w:ascii="宋体" w:hAnsi="宋体" w:cs="宋体"/>
                <w:kern w:val="0"/>
                <w:szCs w:val="21"/>
              </w:rPr>
              <w:t>019</w:t>
            </w:r>
            <w:r>
              <w:rPr>
                <w:rFonts w:hint="eastAsia" w:ascii="宋体" w:hAnsi="宋体" w:cs="宋体"/>
                <w:kern w:val="0"/>
                <w:szCs w:val="21"/>
              </w:rPr>
              <w:t>年度家庭保健员培养任务完成情况直接核分</w:t>
            </w:r>
          </w:p>
          <w:p w14:paraId="571C83CE">
            <w:pPr>
              <w:widowControl/>
              <w:jc w:val="center"/>
              <w:rPr>
                <w:rFonts w:hint="eastAsia" w:ascii="宋体" w:hAnsi="宋体" w:cs="宋体"/>
                <w:kern w:val="0"/>
                <w:szCs w:val="21"/>
              </w:rPr>
            </w:pPr>
            <w:r>
              <w:rPr>
                <w:rFonts w:hint="eastAsia" w:ascii="宋体" w:hAnsi="宋体" w:cs="宋体"/>
                <w:kern w:val="0"/>
                <w:szCs w:val="21"/>
              </w:rPr>
              <w:t>完成年度任务得满分；未完成年度任务，按比例得分。</w:t>
            </w:r>
          </w:p>
        </w:tc>
        <w:tc>
          <w:tcPr>
            <w:tcW w:w="2334" w:type="dxa"/>
            <w:vAlign w:val="center"/>
          </w:tcPr>
          <w:p w14:paraId="5503130E">
            <w:pPr>
              <w:widowControl/>
              <w:jc w:val="center"/>
              <w:rPr>
                <w:rFonts w:hint="eastAsia" w:ascii="宋体" w:hAnsi="宋体" w:cs="宋体"/>
                <w:kern w:val="0"/>
                <w:szCs w:val="21"/>
              </w:rPr>
            </w:pPr>
            <w:r>
              <w:rPr>
                <w:rFonts w:hint="eastAsia" w:ascii="宋体" w:hAnsi="宋体" w:cs="宋体"/>
                <w:kern w:val="0"/>
                <w:szCs w:val="21"/>
              </w:rPr>
              <w:t>市社管中心直接核分。</w:t>
            </w:r>
          </w:p>
        </w:tc>
      </w:tr>
      <w:tr w14:paraId="2CCC0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8" w:hRule="atLeast"/>
          <w:jc w:val="center"/>
        </w:trPr>
        <w:tc>
          <w:tcPr>
            <w:tcW w:w="1282" w:type="dxa"/>
            <w:vMerge w:val="continue"/>
            <w:vAlign w:val="center"/>
          </w:tcPr>
          <w:p w14:paraId="26C0E00B">
            <w:pPr>
              <w:widowControl/>
              <w:jc w:val="center"/>
              <w:rPr>
                <w:rFonts w:ascii="宋体" w:hAnsi="宋体" w:cs="宋体"/>
                <w:kern w:val="0"/>
                <w:szCs w:val="21"/>
              </w:rPr>
            </w:pPr>
          </w:p>
        </w:tc>
        <w:tc>
          <w:tcPr>
            <w:tcW w:w="994" w:type="dxa"/>
            <w:vAlign w:val="center"/>
          </w:tcPr>
          <w:p w14:paraId="0C46E2C0">
            <w:pPr>
              <w:widowControl/>
              <w:jc w:val="center"/>
              <w:rPr>
                <w:rFonts w:ascii="宋体" w:hAnsi="宋体" w:cs="宋体"/>
                <w:kern w:val="0"/>
                <w:szCs w:val="21"/>
              </w:rPr>
            </w:pPr>
            <w:r>
              <w:rPr>
                <w:rFonts w:ascii="宋体" w:hAnsi="宋体" w:cs="宋体"/>
                <w:kern w:val="0"/>
                <w:szCs w:val="21"/>
              </w:rPr>
              <w:t>6.</w:t>
            </w:r>
            <w:r>
              <w:rPr>
                <w:rFonts w:hint="eastAsia" w:ascii="宋体" w:hAnsi="宋体" w:cs="宋体"/>
                <w:kern w:val="0"/>
                <w:szCs w:val="21"/>
              </w:rPr>
              <w:t>合理用药</w:t>
            </w:r>
            <w:r>
              <w:rPr>
                <w:rFonts w:ascii="宋体" w:hAnsi="宋体" w:cs="宋体"/>
                <w:kern w:val="0"/>
                <w:szCs w:val="21"/>
              </w:rPr>
              <w:t>（3分）</w:t>
            </w:r>
          </w:p>
        </w:tc>
        <w:tc>
          <w:tcPr>
            <w:tcW w:w="1134" w:type="dxa"/>
            <w:vAlign w:val="center"/>
          </w:tcPr>
          <w:p w14:paraId="01E9C97E">
            <w:pPr>
              <w:widowControl/>
              <w:jc w:val="center"/>
              <w:rPr>
                <w:rFonts w:ascii="宋体" w:hAnsi="宋体" w:cs="宋体"/>
                <w:kern w:val="0"/>
                <w:szCs w:val="21"/>
              </w:rPr>
            </w:pPr>
            <w:r>
              <w:rPr>
                <w:rFonts w:hint="eastAsia" w:ascii="宋体" w:hAnsi="宋体" w:cs="宋体"/>
                <w:kern w:val="0"/>
                <w:szCs w:val="21"/>
              </w:rPr>
              <w:t>社区</w:t>
            </w:r>
            <w:r>
              <w:rPr>
                <w:rFonts w:ascii="宋体" w:hAnsi="宋体" w:cs="宋体"/>
                <w:kern w:val="0"/>
                <w:szCs w:val="21"/>
              </w:rPr>
              <w:t>合理用药（3分）</w:t>
            </w:r>
          </w:p>
        </w:tc>
        <w:tc>
          <w:tcPr>
            <w:tcW w:w="708" w:type="dxa"/>
            <w:vAlign w:val="center"/>
          </w:tcPr>
          <w:p w14:paraId="762D7293">
            <w:pPr>
              <w:widowControl/>
              <w:jc w:val="center"/>
              <w:rPr>
                <w:rFonts w:ascii="宋体" w:hAnsi="宋体" w:cs="宋体"/>
                <w:kern w:val="0"/>
                <w:szCs w:val="21"/>
              </w:rPr>
            </w:pPr>
            <w:r>
              <w:rPr>
                <w:rFonts w:hint="eastAsia" w:ascii="宋体" w:hAnsi="宋体" w:cs="宋体"/>
                <w:kern w:val="0"/>
                <w:szCs w:val="21"/>
              </w:rPr>
              <w:t>3</w:t>
            </w:r>
          </w:p>
        </w:tc>
        <w:tc>
          <w:tcPr>
            <w:tcW w:w="7892" w:type="dxa"/>
            <w:vAlign w:val="center"/>
          </w:tcPr>
          <w:p w14:paraId="6C5BA067">
            <w:pPr>
              <w:widowControl/>
              <w:jc w:val="center"/>
              <w:rPr>
                <w:rFonts w:ascii="宋体" w:hAnsi="宋体" w:cs="宋体"/>
                <w:kern w:val="0"/>
                <w:szCs w:val="21"/>
              </w:rPr>
            </w:pPr>
            <w:r>
              <w:rPr>
                <w:rFonts w:hint="eastAsia" w:ascii="宋体" w:hAnsi="宋体" w:cs="宋体"/>
                <w:kern w:val="0"/>
                <w:szCs w:val="21"/>
              </w:rPr>
              <w:t>根据处方点评情况核分。</w:t>
            </w:r>
          </w:p>
        </w:tc>
        <w:tc>
          <w:tcPr>
            <w:tcW w:w="2334" w:type="dxa"/>
            <w:vAlign w:val="center"/>
          </w:tcPr>
          <w:p w14:paraId="7927DFC6">
            <w:pPr>
              <w:widowControl/>
              <w:jc w:val="center"/>
              <w:rPr>
                <w:rFonts w:hint="eastAsia" w:ascii="宋体" w:hAnsi="宋体" w:cs="宋体"/>
                <w:kern w:val="0"/>
                <w:szCs w:val="21"/>
              </w:rPr>
            </w:pPr>
            <w:r>
              <w:rPr>
                <w:rFonts w:hint="eastAsia" w:ascii="宋体" w:hAnsi="宋体" w:cs="宋体"/>
                <w:kern w:val="0"/>
                <w:szCs w:val="21"/>
              </w:rPr>
              <w:t>药械处提供考核结果。</w:t>
            </w:r>
          </w:p>
        </w:tc>
      </w:tr>
      <w:tr w14:paraId="5A0F9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0" w:hRule="atLeast"/>
          <w:jc w:val="center"/>
        </w:trPr>
        <w:tc>
          <w:tcPr>
            <w:tcW w:w="1282" w:type="dxa"/>
            <w:vMerge w:val="restart"/>
            <w:vAlign w:val="center"/>
          </w:tcPr>
          <w:p w14:paraId="10EACEC3">
            <w:pPr>
              <w:widowControl/>
              <w:jc w:val="center"/>
              <w:rPr>
                <w:rFonts w:ascii="宋体" w:hAnsi="宋体" w:cs="宋体"/>
                <w:kern w:val="0"/>
                <w:szCs w:val="21"/>
              </w:rPr>
            </w:pPr>
            <w:r>
              <w:rPr>
                <w:rFonts w:hint="eastAsia" w:ascii="宋体" w:hAnsi="宋体" w:cs="宋体"/>
                <w:kern w:val="0"/>
                <w:szCs w:val="21"/>
              </w:rPr>
              <w:t>三、可持续发展</w:t>
            </w:r>
            <w:r>
              <w:rPr>
                <w:rFonts w:ascii="宋体" w:hAnsi="宋体" w:cs="宋体"/>
                <w:kern w:val="0"/>
                <w:szCs w:val="21"/>
              </w:rPr>
              <w:t>（13分）</w:t>
            </w:r>
          </w:p>
        </w:tc>
        <w:tc>
          <w:tcPr>
            <w:tcW w:w="994" w:type="dxa"/>
            <w:vMerge w:val="restart"/>
            <w:vAlign w:val="center"/>
          </w:tcPr>
          <w:p w14:paraId="153A6EF4">
            <w:pPr>
              <w:widowControl/>
              <w:jc w:val="center"/>
              <w:rPr>
                <w:rFonts w:ascii="宋体" w:hAnsi="宋体" w:cs="宋体"/>
                <w:kern w:val="0"/>
                <w:szCs w:val="21"/>
              </w:rPr>
            </w:pPr>
            <w:r>
              <w:rPr>
                <w:rFonts w:ascii="宋体" w:hAnsi="宋体" w:cs="宋体"/>
                <w:kern w:val="0"/>
                <w:szCs w:val="21"/>
              </w:rPr>
              <w:t>7</w:t>
            </w:r>
            <w:r>
              <w:rPr>
                <w:rFonts w:hint="eastAsia" w:ascii="宋体" w:hAnsi="宋体" w:cs="宋体"/>
                <w:kern w:val="0"/>
                <w:szCs w:val="21"/>
              </w:rPr>
              <w:t>.</w:t>
            </w:r>
            <w:r>
              <w:rPr>
                <w:rFonts w:ascii="宋体" w:hAnsi="宋体" w:cs="宋体"/>
                <w:kern w:val="0"/>
                <w:szCs w:val="21"/>
              </w:rPr>
              <w:t>队伍建设（6分）</w:t>
            </w:r>
          </w:p>
        </w:tc>
        <w:tc>
          <w:tcPr>
            <w:tcW w:w="1134" w:type="dxa"/>
            <w:vAlign w:val="center"/>
          </w:tcPr>
          <w:p w14:paraId="460E3979">
            <w:pPr>
              <w:widowControl/>
              <w:jc w:val="center"/>
              <w:rPr>
                <w:rFonts w:ascii="宋体" w:hAnsi="宋体" w:cs="宋体"/>
                <w:kern w:val="0"/>
                <w:szCs w:val="21"/>
              </w:rPr>
            </w:pPr>
            <w:r>
              <w:rPr>
                <w:rFonts w:ascii="宋体" w:hAnsi="宋体" w:cs="宋体"/>
                <w:kern w:val="0"/>
                <w:szCs w:val="21"/>
              </w:rPr>
              <w:t>7</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社区</w:t>
            </w:r>
            <w:r>
              <w:rPr>
                <w:rFonts w:ascii="宋体" w:hAnsi="宋体" w:cs="宋体"/>
                <w:kern w:val="0"/>
                <w:szCs w:val="21"/>
              </w:rPr>
              <w:t>全科医师配置（2分）</w:t>
            </w:r>
          </w:p>
        </w:tc>
        <w:tc>
          <w:tcPr>
            <w:tcW w:w="708" w:type="dxa"/>
            <w:vAlign w:val="center"/>
          </w:tcPr>
          <w:p w14:paraId="3EB36336">
            <w:pPr>
              <w:widowControl/>
              <w:jc w:val="center"/>
              <w:rPr>
                <w:rFonts w:ascii="宋体" w:hAnsi="宋体" w:cs="宋体"/>
                <w:kern w:val="0"/>
                <w:szCs w:val="21"/>
              </w:rPr>
            </w:pPr>
            <w:r>
              <w:rPr>
                <w:rFonts w:ascii="宋体" w:hAnsi="宋体" w:cs="宋体"/>
                <w:kern w:val="0"/>
                <w:szCs w:val="21"/>
              </w:rPr>
              <w:t>2</w:t>
            </w:r>
          </w:p>
        </w:tc>
        <w:tc>
          <w:tcPr>
            <w:tcW w:w="7892" w:type="dxa"/>
            <w:vAlign w:val="center"/>
          </w:tcPr>
          <w:p w14:paraId="4E68DEEF">
            <w:pPr>
              <w:widowControl/>
              <w:jc w:val="center"/>
              <w:rPr>
                <w:rFonts w:hint="eastAsia" w:ascii="宋体" w:hAnsi="宋体" w:cs="宋体"/>
                <w:kern w:val="0"/>
                <w:szCs w:val="21"/>
              </w:rPr>
            </w:pPr>
            <w:r>
              <w:rPr>
                <w:rFonts w:ascii="宋体" w:hAnsi="宋体" w:cs="宋体"/>
                <w:kern w:val="0"/>
                <w:szCs w:val="21"/>
              </w:rPr>
              <w:t>每万人全科医师实际配备数量=区</w:t>
            </w:r>
            <w:r>
              <w:rPr>
                <w:rFonts w:hint="eastAsia" w:ascii="宋体" w:hAnsi="宋体" w:cs="宋体"/>
                <w:kern w:val="0"/>
                <w:szCs w:val="21"/>
              </w:rPr>
              <w:t>社区</w:t>
            </w:r>
            <w:r>
              <w:rPr>
                <w:rFonts w:ascii="宋体" w:hAnsi="宋体" w:cs="宋体"/>
                <w:kern w:val="0"/>
                <w:szCs w:val="21"/>
              </w:rPr>
              <w:t>全科医师数/区常住人口×10000</w:t>
            </w:r>
          </w:p>
          <w:p w14:paraId="6F25A640">
            <w:pPr>
              <w:widowControl/>
              <w:jc w:val="center"/>
              <w:rPr>
                <w:rFonts w:ascii="宋体" w:hAnsi="宋体" w:cs="宋体"/>
                <w:kern w:val="0"/>
                <w:szCs w:val="21"/>
              </w:rPr>
            </w:pPr>
            <w:r>
              <w:rPr>
                <w:rFonts w:hint="eastAsia" w:ascii="宋体" w:hAnsi="宋体" w:cs="宋体"/>
                <w:kern w:val="0"/>
                <w:szCs w:val="21"/>
              </w:rPr>
              <w:t>每万人全科医师实际配备数量≥</w:t>
            </w:r>
            <w:r>
              <w:rPr>
                <w:rFonts w:ascii="宋体" w:hAnsi="宋体" w:cs="宋体"/>
                <w:kern w:val="0"/>
                <w:szCs w:val="21"/>
              </w:rPr>
              <w:t>3得满分，＜3按比例得分</w:t>
            </w:r>
          </w:p>
        </w:tc>
        <w:tc>
          <w:tcPr>
            <w:tcW w:w="2334" w:type="dxa"/>
            <w:vAlign w:val="center"/>
          </w:tcPr>
          <w:p w14:paraId="223CD22C">
            <w:pPr>
              <w:widowControl/>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07550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1418" w:hRule="atLeast"/>
          <w:jc w:val="center"/>
        </w:trPr>
        <w:tc>
          <w:tcPr>
            <w:tcW w:w="1282" w:type="dxa"/>
            <w:vMerge w:val="continue"/>
            <w:vAlign w:val="center"/>
          </w:tcPr>
          <w:p w14:paraId="6B008286">
            <w:pPr>
              <w:widowControl/>
              <w:jc w:val="center"/>
              <w:rPr>
                <w:rFonts w:hint="eastAsia" w:ascii="宋体" w:hAnsi="宋体" w:cs="宋体"/>
                <w:kern w:val="0"/>
                <w:szCs w:val="21"/>
              </w:rPr>
            </w:pPr>
          </w:p>
        </w:tc>
        <w:tc>
          <w:tcPr>
            <w:tcW w:w="994" w:type="dxa"/>
            <w:vMerge w:val="continue"/>
            <w:vAlign w:val="center"/>
          </w:tcPr>
          <w:p w14:paraId="1849465B">
            <w:pPr>
              <w:widowControl/>
              <w:jc w:val="center"/>
              <w:rPr>
                <w:rFonts w:ascii="宋体" w:hAnsi="宋体" w:cs="宋体"/>
                <w:kern w:val="0"/>
                <w:szCs w:val="21"/>
              </w:rPr>
            </w:pPr>
          </w:p>
        </w:tc>
        <w:tc>
          <w:tcPr>
            <w:tcW w:w="1134" w:type="dxa"/>
            <w:vAlign w:val="center"/>
          </w:tcPr>
          <w:p w14:paraId="5FE793EC">
            <w:pPr>
              <w:widowControl/>
              <w:jc w:val="center"/>
              <w:rPr>
                <w:rFonts w:ascii="宋体" w:hAnsi="宋体" w:cs="宋体"/>
                <w:kern w:val="0"/>
                <w:szCs w:val="21"/>
              </w:rPr>
            </w:pPr>
            <w:r>
              <w:rPr>
                <w:rFonts w:ascii="宋体" w:hAnsi="宋体" w:cs="宋体"/>
                <w:kern w:val="0"/>
                <w:szCs w:val="21"/>
              </w:rPr>
              <w:t>7</w:t>
            </w:r>
            <w:r>
              <w:rPr>
                <w:rFonts w:hint="eastAsia" w:ascii="宋体" w:hAnsi="宋体" w:cs="宋体"/>
                <w:kern w:val="0"/>
                <w:szCs w:val="21"/>
              </w:rPr>
              <w:t>.2社区</w:t>
            </w:r>
            <w:r>
              <w:rPr>
                <w:rFonts w:ascii="宋体" w:hAnsi="宋体" w:cs="宋体"/>
                <w:kern w:val="0"/>
                <w:szCs w:val="21"/>
              </w:rPr>
              <w:t>执业护士配置（2分）</w:t>
            </w:r>
          </w:p>
        </w:tc>
        <w:tc>
          <w:tcPr>
            <w:tcW w:w="708" w:type="dxa"/>
            <w:vAlign w:val="center"/>
          </w:tcPr>
          <w:p w14:paraId="5FAF7399">
            <w:pPr>
              <w:widowControl/>
              <w:jc w:val="center"/>
              <w:rPr>
                <w:rFonts w:hint="eastAsia" w:ascii="宋体" w:hAnsi="宋体" w:cs="宋体"/>
                <w:kern w:val="0"/>
                <w:szCs w:val="21"/>
              </w:rPr>
            </w:pPr>
            <w:r>
              <w:rPr>
                <w:rFonts w:ascii="宋体" w:hAnsi="宋体" w:cs="宋体"/>
                <w:kern w:val="0"/>
                <w:szCs w:val="21"/>
              </w:rPr>
              <w:t>2</w:t>
            </w:r>
          </w:p>
        </w:tc>
        <w:tc>
          <w:tcPr>
            <w:tcW w:w="7892" w:type="dxa"/>
            <w:vAlign w:val="center"/>
          </w:tcPr>
          <w:p w14:paraId="3B7ECC35">
            <w:pPr>
              <w:widowControl/>
              <w:jc w:val="center"/>
              <w:rPr>
                <w:rFonts w:hint="eastAsia" w:ascii="宋体" w:hAnsi="宋体" w:cs="宋体"/>
                <w:kern w:val="0"/>
                <w:szCs w:val="21"/>
              </w:rPr>
            </w:pPr>
            <w:r>
              <w:rPr>
                <w:rFonts w:ascii="宋体" w:hAnsi="宋体" w:cs="宋体"/>
                <w:kern w:val="0"/>
                <w:szCs w:val="21"/>
              </w:rPr>
              <w:t>每万人执业护士实际配备数量=区</w:t>
            </w:r>
            <w:r>
              <w:rPr>
                <w:rFonts w:hint="eastAsia" w:ascii="宋体" w:hAnsi="宋体" w:cs="宋体"/>
                <w:kern w:val="0"/>
                <w:szCs w:val="21"/>
              </w:rPr>
              <w:t>社区</w:t>
            </w:r>
            <w:r>
              <w:rPr>
                <w:rFonts w:ascii="宋体" w:hAnsi="宋体" w:cs="宋体"/>
                <w:kern w:val="0"/>
                <w:szCs w:val="21"/>
              </w:rPr>
              <w:t>执业护士数/区常住人口×10000</w:t>
            </w:r>
          </w:p>
          <w:p w14:paraId="670D7168">
            <w:pPr>
              <w:widowControl/>
              <w:jc w:val="center"/>
              <w:rPr>
                <w:rFonts w:hint="eastAsia" w:ascii="宋体" w:hAnsi="宋体" w:cs="宋体"/>
                <w:kern w:val="0"/>
                <w:szCs w:val="21"/>
              </w:rPr>
            </w:pPr>
            <w:r>
              <w:rPr>
                <w:rFonts w:hint="eastAsia" w:ascii="宋体" w:hAnsi="宋体" w:cs="宋体"/>
                <w:kern w:val="0"/>
                <w:szCs w:val="21"/>
              </w:rPr>
              <w:t>每万人执业护士实际配备数量≥</w:t>
            </w:r>
            <w:r>
              <w:rPr>
                <w:rFonts w:ascii="宋体" w:hAnsi="宋体" w:cs="宋体"/>
                <w:kern w:val="0"/>
                <w:szCs w:val="21"/>
              </w:rPr>
              <w:t>3得满分，＜3按比例得分；</w:t>
            </w:r>
          </w:p>
        </w:tc>
        <w:tc>
          <w:tcPr>
            <w:tcW w:w="2334" w:type="dxa"/>
            <w:vAlign w:val="center"/>
          </w:tcPr>
          <w:p w14:paraId="5C4E91BB">
            <w:pPr>
              <w:widowControl/>
              <w:jc w:val="center"/>
              <w:rPr>
                <w:rFonts w:hint="eastAsia" w:ascii="宋体" w:hAnsi="宋体" w:cs="宋体"/>
                <w:kern w:val="0"/>
                <w:szCs w:val="21"/>
              </w:rPr>
            </w:pPr>
            <w:r>
              <w:rPr>
                <w:rFonts w:hint="eastAsia" w:ascii="宋体" w:hAnsi="宋体" w:cs="宋体"/>
                <w:kern w:val="0"/>
                <w:szCs w:val="21"/>
              </w:rPr>
              <w:t>市社管中心常规监测数据直接核分。基层处会同市社管中心提供考核结果。</w:t>
            </w:r>
          </w:p>
        </w:tc>
      </w:tr>
      <w:tr w14:paraId="37EBA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0" w:hRule="atLeast"/>
          <w:jc w:val="center"/>
        </w:trPr>
        <w:tc>
          <w:tcPr>
            <w:tcW w:w="1282" w:type="dxa"/>
            <w:vMerge w:val="continue"/>
            <w:vAlign w:val="center"/>
          </w:tcPr>
          <w:p w14:paraId="03BC352E">
            <w:pPr>
              <w:widowControl/>
              <w:jc w:val="center"/>
              <w:rPr>
                <w:rFonts w:hint="eastAsia" w:ascii="宋体" w:hAnsi="宋体" w:cs="宋体"/>
                <w:kern w:val="0"/>
                <w:szCs w:val="21"/>
              </w:rPr>
            </w:pPr>
          </w:p>
        </w:tc>
        <w:tc>
          <w:tcPr>
            <w:tcW w:w="994" w:type="dxa"/>
            <w:vMerge w:val="continue"/>
            <w:vAlign w:val="center"/>
          </w:tcPr>
          <w:p w14:paraId="07763163">
            <w:pPr>
              <w:widowControl/>
              <w:jc w:val="center"/>
              <w:rPr>
                <w:rFonts w:ascii="宋体" w:hAnsi="宋体" w:cs="宋体"/>
                <w:kern w:val="0"/>
                <w:szCs w:val="21"/>
              </w:rPr>
            </w:pPr>
          </w:p>
        </w:tc>
        <w:tc>
          <w:tcPr>
            <w:tcW w:w="1134" w:type="dxa"/>
            <w:vAlign w:val="center"/>
          </w:tcPr>
          <w:p w14:paraId="7D8F4141">
            <w:pPr>
              <w:widowControl/>
              <w:jc w:val="center"/>
              <w:rPr>
                <w:rFonts w:ascii="宋体" w:hAnsi="宋体" w:cs="宋体"/>
                <w:kern w:val="0"/>
                <w:szCs w:val="21"/>
              </w:rPr>
            </w:pPr>
            <w:r>
              <w:rPr>
                <w:rFonts w:ascii="宋体" w:hAnsi="宋体" w:cs="宋体"/>
                <w:kern w:val="0"/>
                <w:szCs w:val="21"/>
              </w:rPr>
              <w:t>7</w:t>
            </w:r>
            <w:r>
              <w:rPr>
                <w:rFonts w:hint="eastAsia" w:ascii="宋体" w:hAnsi="宋体" w:cs="宋体"/>
                <w:kern w:val="0"/>
                <w:szCs w:val="21"/>
              </w:rPr>
              <w:t>.3</w:t>
            </w:r>
            <w:r>
              <w:rPr>
                <w:rFonts w:ascii="宋体" w:hAnsi="宋体" w:cs="宋体"/>
                <w:kern w:val="0"/>
                <w:szCs w:val="21"/>
              </w:rPr>
              <w:t>家庭医生团队建设（2分）</w:t>
            </w:r>
          </w:p>
        </w:tc>
        <w:tc>
          <w:tcPr>
            <w:tcW w:w="708" w:type="dxa"/>
            <w:vAlign w:val="center"/>
          </w:tcPr>
          <w:p w14:paraId="739B8EDD">
            <w:pPr>
              <w:widowControl/>
              <w:jc w:val="center"/>
              <w:rPr>
                <w:rFonts w:hint="eastAsia" w:ascii="宋体" w:hAnsi="宋体" w:cs="宋体"/>
                <w:kern w:val="0"/>
                <w:szCs w:val="21"/>
              </w:rPr>
            </w:pPr>
            <w:r>
              <w:rPr>
                <w:rFonts w:ascii="宋体" w:hAnsi="宋体" w:cs="宋体"/>
                <w:kern w:val="0"/>
                <w:szCs w:val="21"/>
              </w:rPr>
              <w:t>2</w:t>
            </w:r>
          </w:p>
        </w:tc>
        <w:tc>
          <w:tcPr>
            <w:tcW w:w="7892" w:type="dxa"/>
            <w:vAlign w:val="center"/>
          </w:tcPr>
          <w:p w14:paraId="2A43C4DC">
            <w:pPr>
              <w:widowControl/>
              <w:jc w:val="center"/>
              <w:rPr>
                <w:rFonts w:ascii="宋体" w:hAnsi="宋体" w:cs="宋体"/>
                <w:kern w:val="0"/>
                <w:szCs w:val="21"/>
              </w:rPr>
            </w:pPr>
            <w:r>
              <w:rPr>
                <w:rFonts w:hint="eastAsia" w:ascii="宋体" w:hAnsi="宋体" w:cs="宋体"/>
                <w:kern w:val="0"/>
                <w:szCs w:val="21"/>
              </w:rPr>
              <w:t>根据2</w:t>
            </w:r>
            <w:r>
              <w:rPr>
                <w:rFonts w:ascii="宋体" w:hAnsi="宋体" w:cs="宋体"/>
                <w:kern w:val="0"/>
                <w:szCs w:val="21"/>
              </w:rPr>
              <w:t>019</w:t>
            </w:r>
            <w:r>
              <w:rPr>
                <w:rFonts w:hint="eastAsia" w:ascii="宋体" w:hAnsi="宋体" w:cs="宋体"/>
                <w:kern w:val="0"/>
                <w:szCs w:val="21"/>
              </w:rPr>
              <w:t>年度各区家庭医生团队数量（1分），团队中全科医生数量（1分）与2</w:t>
            </w:r>
            <w:r>
              <w:rPr>
                <w:rFonts w:ascii="宋体" w:hAnsi="宋体" w:cs="宋体"/>
                <w:kern w:val="0"/>
                <w:szCs w:val="21"/>
              </w:rPr>
              <w:t>018</w:t>
            </w:r>
            <w:r>
              <w:rPr>
                <w:rFonts w:hint="eastAsia" w:ascii="宋体" w:hAnsi="宋体" w:cs="宋体"/>
                <w:kern w:val="0"/>
                <w:szCs w:val="21"/>
              </w:rPr>
              <w:t>年度相比增长情况等直接核分。</w:t>
            </w:r>
          </w:p>
          <w:p w14:paraId="560C0C57">
            <w:pPr>
              <w:widowControl/>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年不低于2</w:t>
            </w:r>
            <w:r>
              <w:rPr>
                <w:rFonts w:ascii="宋体" w:hAnsi="宋体" w:cs="宋体"/>
                <w:kern w:val="0"/>
                <w:szCs w:val="21"/>
              </w:rPr>
              <w:t>018</w:t>
            </w:r>
            <w:r>
              <w:rPr>
                <w:rFonts w:hint="eastAsia" w:ascii="宋体" w:hAnsi="宋体" w:cs="宋体"/>
                <w:kern w:val="0"/>
                <w:szCs w:val="21"/>
              </w:rPr>
              <w:t>年则满分，2</w:t>
            </w:r>
            <w:r>
              <w:rPr>
                <w:rFonts w:ascii="宋体" w:hAnsi="宋体" w:cs="宋体"/>
                <w:kern w:val="0"/>
                <w:szCs w:val="21"/>
              </w:rPr>
              <w:t>019</w:t>
            </w:r>
            <w:r>
              <w:rPr>
                <w:rFonts w:hint="eastAsia" w:ascii="宋体" w:hAnsi="宋体" w:cs="宋体"/>
                <w:kern w:val="0"/>
                <w:szCs w:val="21"/>
              </w:rPr>
              <w:t>年小于2</w:t>
            </w:r>
            <w:r>
              <w:rPr>
                <w:rFonts w:ascii="宋体" w:hAnsi="宋体" w:cs="宋体"/>
                <w:kern w:val="0"/>
                <w:szCs w:val="21"/>
              </w:rPr>
              <w:t>018</w:t>
            </w:r>
            <w:r>
              <w:rPr>
                <w:rFonts w:hint="eastAsia" w:ascii="宋体" w:hAnsi="宋体" w:cs="宋体"/>
                <w:kern w:val="0"/>
                <w:szCs w:val="21"/>
              </w:rPr>
              <w:t>年，按比例得分</w:t>
            </w:r>
          </w:p>
        </w:tc>
        <w:tc>
          <w:tcPr>
            <w:tcW w:w="2334" w:type="dxa"/>
            <w:vAlign w:val="center"/>
          </w:tcPr>
          <w:p w14:paraId="1A6F3B26">
            <w:pPr>
              <w:widowControl/>
              <w:jc w:val="center"/>
              <w:rPr>
                <w:rFonts w:hint="eastAsia" w:ascii="宋体" w:hAnsi="宋体" w:cs="宋体"/>
                <w:kern w:val="0"/>
                <w:szCs w:val="21"/>
              </w:rPr>
            </w:pPr>
            <w:r>
              <w:rPr>
                <w:rFonts w:hint="eastAsia" w:ascii="宋体" w:hAnsi="宋体" w:cs="宋体"/>
                <w:kern w:val="0"/>
                <w:szCs w:val="21"/>
              </w:rPr>
              <w:t>基层处会同市社管中心提供考核结果。</w:t>
            </w:r>
          </w:p>
        </w:tc>
      </w:tr>
      <w:tr w14:paraId="7F6E0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0" w:hRule="atLeast"/>
          <w:jc w:val="center"/>
        </w:trPr>
        <w:tc>
          <w:tcPr>
            <w:tcW w:w="1282" w:type="dxa"/>
            <w:vMerge w:val="continue"/>
            <w:vAlign w:val="center"/>
          </w:tcPr>
          <w:p w14:paraId="7EF8D8FC">
            <w:pPr>
              <w:widowControl/>
              <w:jc w:val="center"/>
              <w:rPr>
                <w:rFonts w:hint="eastAsia" w:ascii="宋体" w:hAnsi="宋体" w:cs="宋体"/>
                <w:kern w:val="0"/>
                <w:szCs w:val="21"/>
              </w:rPr>
            </w:pPr>
          </w:p>
        </w:tc>
        <w:tc>
          <w:tcPr>
            <w:tcW w:w="994" w:type="dxa"/>
            <w:vMerge w:val="restart"/>
            <w:vAlign w:val="center"/>
          </w:tcPr>
          <w:p w14:paraId="6D299883">
            <w:pPr>
              <w:widowControl/>
              <w:jc w:val="center"/>
              <w:rPr>
                <w:rFonts w:ascii="宋体" w:hAnsi="宋体" w:cs="宋体"/>
                <w:kern w:val="0"/>
                <w:szCs w:val="21"/>
              </w:rPr>
            </w:pPr>
            <w:r>
              <w:rPr>
                <w:rFonts w:ascii="宋体" w:hAnsi="宋体" w:cs="宋体"/>
                <w:kern w:val="0"/>
                <w:szCs w:val="21"/>
              </w:rPr>
              <w:t>8.服务能力提升（4分）</w:t>
            </w:r>
          </w:p>
        </w:tc>
        <w:tc>
          <w:tcPr>
            <w:tcW w:w="1134" w:type="dxa"/>
            <w:vAlign w:val="center"/>
          </w:tcPr>
          <w:p w14:paraId="7ACB81E4">
            <w:pPr>
              <w:widowControl/>
              <w:jc w:val="center"/>
              <w:rPr>
                <w:rFonts w:ascii="宋体" w:hAnsi="宋体" w:cs="宋体"/>
                <w:kern w:val="0"/>
                <w:szCs w:val="21"/>
              </w:rPr>
            </w:pPr>
            <w:r>
              <w:rPr>
                <w:rFonts w:ascii="宋体" w:hAnsi="宋体" w:cs="宋体"/>
                <w:kern w:val="0"/>
                <w:szCs w:val="21"/>
              </w:rPr>
              <w:t>8.1岗位练兵落实情况（2分）</w:t>
            </w:r>
          </w:p>
        </w:tc>
        <w:tc>
          <w:tcPr>
            <w:tcW w:w="708" w:type="dxa"/>
            <w:vAlign w:val="center"/>
          </w:tcPr>
          <w:p w14:paraId="6895694D">
            <w:pPr>
              <w:widowControl/>
              <w:jc w:val="center"/>
              <w:rPr>
                <w:rFonts w:hint="eastAsia" w:ascii="宋体" w:hAnsi="宋体" w:cs="宋体"/>
                <w:kern w:val="0"/>
                <w:szCs w:val="21"/>
              </w:rPr>
            </w:pPr>
            <w:r>
              <w:rPr>
                <w:rFonts w:hint="eastAsia" w:ascii="宋体" w:hAnsi="宋体" w:cs="宋体"/>
                <w:kern w:val="0"/>
                <w:szCs w:val="21"/>
              </w:rPr>
              <w:t>2</w:t>
            </w:r>
          </w:p>
        </w:tc>
        <w:tc>
          <w:tcPr>
            <w:tcW w:w="7892" w:type="dxa"/>
            <w:vAlign w:val="center"/>
          </w:tcPr>
          <w:p w14:paraId="0625D4BD">
            <w:pPr>
              <w:widowControl/>
              <w:jc w:val="center"/>
              <w:rPr>
                <w:rFonts w:hint="eastAsia" w:ascii="宋体" w:hAnsi="宋体" w:cs="宋体"/>
                <w:kern w:val="0"/>
                <w:szCs w:val="21"/>
              </w:rPr>
            </w:pPr>
            <w:r>
              <w:rPr>
                <w:rFonts w:hint="eastAsia" w:ascii="宋体" w:hAnsi="宋体" w:cs="宋体"/>
                <w:kern w:val="0"/>
                <w:szCs w:val="21"/>
              </w:rPr>
              <w:t>各区组织的岗位练兵活动，根据组织管理情况、经费投入、规模、成绩成效等方面直接核分。</w:t>
            </w:r>
          </w:p>
        </w:tc>
        <w:tc>
          <w:tcPr>
            <w:tcW w:w="2334" w:type="dxa"/>
            <w:vAlign w:val="center"/>
          </w:tcPr>
          <w:p w14:paraId="618B63A0">
            <w:pPr>
              <w:widowControl/>
              <w:jc w:val="center"/>
              <w:rPr>
                <w:rFonts w:hint="eastAsia" w:ascii="宋体" w:hAnsi="宋体" w:cs="宋体"/>
                <w:kern w:val="0"/>
                <w:szCs w:val="21"/>
              </w:rPr>
            </w:pPr>
            <w:r>
              <w:rPr>
                <w:rFonts w:hint="eastAsia" w:ascii="宋体" w:hAnsi="宋体" w:cs="宋体"/>
                <w:kern w:val="0"/>
                <w:szCs w:val="21"/>
              </w:rPr>
              <w:t>科教处提供考核结果。</w:t>
            </w:r>
          </w:p>
        </w:tc>
      </w:tr>
      <w:tr w14:paraId="66479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911" w:hRule="atLeast"/>
          <w:jc w:val="center"/>
        </w:trPr>
        <w:tc>
          <w:tcPr>
            <w:tcW w:w="1282" w:type="dxa"/>
            <w:vMerge w:val="continue"/>
            <w:vAlign w:val="center"/>
          </w:tcPr>
          <w:p w14:paraId="310C168D">
            <w:pPr>
              <w:widowControl/>
              <w:jc w:val="center"/>
              <w:rPr>
                <w:rFonts w:hint="eastAsia" w:ascii="宋体" w:hAnsi="宋体" w:cs="宋体"/>
                <w:kern w:val="0"/>
                <w:szCs w:val="21"/>
              </w:rPr>
            </w:pPr>
          </w:p>
        </w:tc>
        <w:tc>
          <w:tcPr>
            <w:tcW w:w="994" w:type="dxa"/>
            <w:vMerge w:val="continue"/>
            <w:vAlign w:val="center"/>
          </w:tcPr>
          <w:p w14:paraId="177C2D8E">
            <w:pPr>
              <w:widowControl/>
              <w:jc w:val="center"/>
              <w:rPr>
                <w:rFonts w:ascii="宋体" w:hAnsi="宋体" w:cs="宋体"/>
                <w:kern w:val="0"/>
                <w:szCs w:val="21"/>
              </w:rPr>
            </w:pPr>
          </w:p>
        </w:tc>
        <w:tc>
          <w:tcPr>
            <w:tcW w:w="1134" w:type="dxa"/>
            <w:vAlign w:val="center"/>
          </w:tcPr>
          <w:p w14:paraId="38B9E5CB">
            <w:pPr>
              <w:widowControl/>
              <w:jc w:val="center"/>
              <w:rPr>
                <w:rFonts w:ascii="宋体" w:hAnsi="宋体" w:cs="宋体"/>
                <w:kern w:val="0"/>
                <w:szCs w:val="21"/>
              </w:rPr>
            </w:pPr>
            <w:r>
              <w:rPr>
                <w:rFonts w:ascii="宋体" w:hAnsi="宋体" w:cs="宋体"/>
                <w:kern w:val="0"/>
                <w:szCs w:val="21"/>
              </w:rPr>
              <w:t>8.2人员继续教育情况（2分）</w:t>
            </w:r>
          </w:p>
        </w:tc>
        <w:tc>
          <w:tcPr>
            <w:tcW w:w="708" w:type="dxa"/>
            <w:vAlign w:val="center"/>
          </w:tcPr>
          <w:p w14:paraId="778BA057">
            <w:pPr>
              <w:widowControl/>
              <w:jc w:val="center"/>
              <w:rPr>
                <w:rFonts w:hint="eastAsia" w:ascii="宋体" w:hAnsi="宋体" w:cs="宋体"/>
                <w:kern w:val="0"/>
                <w:szCs w:val="21"/>
              </w:rPr>
            </w:pPr>
            <w:r>
              <w:rPr>
                <w:rFonts w:ascii="宋体" w:hAnsi="宋体" w:cs="宋体"/>
                <w:kern w:val="0"/>
                <w:szCs w:val="21"/>
              </w:rPr>
              <w:t>2</w:t>
            </w:r>
          </w:p>
        </w:tc>
        <w:tc>
          <w:tcPr>
            <w:tcW w:w="7892" w:type="dxa"/>
            <w:vAlign w:val="center"/>
          </w:tcPr>
          <w:p w14:paraId="06E2FABD">
            <w:pPr>
              <w:widowControl/>
              <w:jc w:val="center"/>
              <w:rPr>
                <w:rFonts w:hint="eastAsia" w:ascii="宋体" w:hAnsi="宋体" w:cs="宋体"/>
                <w:kern w:val="0"/>
                <w:szCs w:val="21"/>
              </w:rPr>
            </w:pPr>
            <w:r>
              <w:rPr>
                <w:rFonts w:hint="eastAsia" w:ascii="宋体" w:hAnsi="宋体" w:cs="宋体"/>
                <w:kern w:val="0"/>
                <w:szCs w:val="21"/>
              </w:rPr>
              <w:t>全员必修项目完成情况。</w:t>
            </w:r>
          </w:p>
        </w:tc>
        <w:tc>
          <w:tcPr>
            <w:tcW w:w="2334" w:type="dxa"/>
            <w:vAlign w:val="center"/>
          </w:tcPr>
          <w:p w14:paraId="2C4A71D6">
            <w:pPr>
              <w:widowControl/>
              <w:jc w:val="center"/>
              <w:rPr>
                <w:rFonts w:hint="eastAsia" w:ascii="宋体" w:hAnsi="宋体" w:cs="宋体"/>
                <w:kern w:val="0"/>
                <w:szCs w:val="21"/>
              </w:rPr>
            </w:pPr>
            <w:r>
              <w:rPr>
                <w:rFonts w:hint="eastAsia" w:ascii="宋体" w:hAnsi="宋体" w:cs="宋体"/>
                <w:kern w:val="0"/>
                <w:szCs w:val="21"/>
              </w:rPr>
              <w:t>科教处提供考核结果。</w:t>
            </w:r>
          </w:p>
        </w:tc>
      </w:tr>
      <w:tr w14:paraId="6772B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1" w:hRule="atLeast"/>
          <w:jc w:val="center"/>
        </w:trPr>
        <w:tc>
          <w:tcPr>
            <w:tcW w:w="1282" w:type="dxa"/>
            <w:vMerge w:val="continue"/>
            <w:vAlign w:val="center"/>
          </w:tcPr>
          <w:p w14:paraId="1C50EA82">
            <w:pPr>
              <w:widowControl/>
              <w:jc w:val="center"/>
              <w:rPr>
                <w:rFonts w:hint="eastAsia" w:ascii="宋体" w:hAnsi="宋体" w:cs="宋体"/>
                <w:kern w:val="0"/>
                <w:szCs w:val="21"/>
              </w:rPr>
            </w:pPr>
          </w:p>
        </w:tc>
        <w:tc>
          <w:tcPr>
            <w:tcW w:w="994" w:type="dxa"/>
            <w:vAlign w:val="center"/>
          </w:tcPr>
          <w:p w14:paraId="34B097F9">
            <w:pPr>
              <w:widowControl/>
              <w:jc w:val="center"/>
              <w:rPr>
                <w:rFonts w:ascii="宋体" w:hAnsi="宋体" w:cs="宋体"/>
                <w:kern w:val="0"/>
                <w:szCs w:val="21"/>
              </w:rPr>
            </w:pPr>
            <w:r>
              <w:rPr>
                <w:rFonts w:ascii="宋体" w:hAnsi="宋体" w:cs="宋体"/>
                <w:kern w:val="0"/>
                <w:szCs w:val="21"/>
              </w:rPr>
              <w:t>9.探索创新工作（3分）</w:t>
            </w:r>
          </w:p>
        </w:tc>
        <w:tc>
          <w:tcPr>
            <w:tcW w:w="1134" w:type="dxa"/>
            <w:vAlign w:val="center"/>
          </w:tcPr>
          <w:p w14:paraId="0AE23E85">
            <w:pPr>
              <w:widowControl/>
              <w:jc w:val="center"/>
              <w:rPr>
                <w:rFonts w:ascii="宋体" w:hAnsi="宋体" w:cs="宋体"/>
                <w:kern w:val="0"/>
                <w:szCs w:val="21"/>
              </w:rPr>
            </w:pPr>
            <w:r>
              <w:rPr>
                <w:rFonts w:ascii="宋体" w:hAnsi="宋体" w:cs="宋体"/>
                <w:kern w:val="0"/>
                <w:szCs w:val="21"/>
              </w:rPr>
              <w:t>全区开展的社区卫生服务和管理改革创新工作（3分）</w:t>
            </w:r>
          </w:p>
        </w:tc>
        <w:tc>
          <w:tcPr>
            <w:tcW w:w="708" w:type="dxa"/>
            <w:vAlign w:val="center"/>
          </w:tcPr>
          <w:p w14:paraId="09DC6EB9">
            <w:pPr>
              <w:widowControl/>
              <w:jc w:val="center"/>
              <w:rPr>
                <w:rFonts w:hint="eastAsia" w:ascii="宋体" w:hAnsi="宋体" w:cs="宋体"/>
                <w:kern w:val="0"/>
                <w:szCs w:val="21"/>
              </w:rPr>
            </w:pPr>
            <w:r>
              <w:rPr>
                <w:rFonts w:hint="eastAsia" w:ascii="宋体" w:hAnsi="宋体" w:cs="宋体"/>
                <w:kern w:val="0"/>
                <w:szCs w:val="21"/>
              </w:rPr>
              <w:t>3</w:t>
            </w:r>
          </w:p>
        </w:tc>
        <w:tc>
          <w:tcPr>
            <w:tcW w:w="7892" w:type="dxa"/>
            <w:vAlign w:val="center"/>
          </w:tcPr>
          <w:p w14:paraId="6398D6F7">
            <w:pPr>
              <w:widowControl/>
              <w:jc w:val="center"/>
              <w:rPr>
                <w:rFonts w:hint="eastAsia" w:ascii="宋体" w:hAnsi="宋体" w:cs="宋体"/>
                <w:kern w:val="0"/>
                <w:szCs w:val="21"/>
              </w:rPr>
            </w:pPr>
            <w:r>
              <w:rPr>
                <w:rFonts w:hint="eastAsia" w:ascii="宋体" w:hAnsi="宋体" w:cs="宋体"/>
                <w:kern w:val="0"/>
                <w:szCs w:val="21"/>
              </w:rPr>
              <w:t>根据区级上报的2</w:t>
            </w:r>
            <w:r>
              <w:rPr>
                <w:rFonts w:ascii="宋体" w:hAnsi="宋体" w:cs="宋体"/>
                <w:kern w:val="0"/>
                <w:szCs w:val="21"/>
              </w:rPr>
              <w:t>019</w:t>
            </w:r>
            <w:r>
              <w:rPr>
                <w:rFonts w:hint="eastAsia" w:ascii="宋体" w:hAnsi="宋体" w:cs="宋体"/>
                <w:kern w:val="0"/>
                <w:szCs w:val="21"/>
              </w:rPr>
              <w:t>年度社区卫生改革、创新材料进行评议。国家或市级试点区列入该项目。历次考核已认定过的项目不计入成绩。</w:t>
            </w:r>
          </w:p>
        </w:tc>
        <w:tc>
          <w:tcPr>
            <w:tcW w:w="2334" w:type="dxa"/>
            <w:vAlign w:val="center"/>
          </w:tcPr>
          <w:p w14:paraId="41216A75">
            <w:pPr>
              <w:widowControl/>
              <w:jc w:val="center"/>
              <w:rPr>
                <w:rFonts w:hint="eastAsia" w:ascii="宋体" w:hAnsi="宋体" w:cs="宋体"/>
                <w:kern w:val="0"/>
                <w:szCs w:val="21"/>
              </w:rPr>
            </w:pPr>
            <w:r>
              <w:rPr>
                <w:rFonts w:hint="eastAsia" w:ascii="宋体" w:hAnsi="宋体" w:cs="宋体"/>
                <w:kern w:val="0"/>
                <w:szCs w:val="21"/>
              </w:rPr>
              <w:t>各区上交材料，基层处会同</w:t>
            </w:r>
            <w:r>
              <w:rPr>
                <w:rFonts w:hint="eastAsia" w:ascii="宋体" w:hAnsi="宋体" w:cs="宋体"/>
                <w:kern w:val="0"/>
                <w:szCs w:val="21"/>
                <w:lang w:eastAsia="zh-CN"/>
              </w:rPr>
              <w:t>、</w:t>
            </w:r>
            <w:r>
              <w:rPr>
                <w:rFonts w:hint="eastAsia" w:ascii="宋体" w:hAnsi="宋体" w:cs="宋体"/>
                <w:kern w:val="0"/>
                <w:szCs w:val="21"/>
              </w:rPr>
              <w:t>市社管中心</w:t>
            </w:r>
            <w:r>
              <w:rPr>
                <w:rFonts w:hint="eastAsia" w:ascii="宋体" w:hAnsi="宋体" w:cs="宋体"/>
                <w:kern w:val="0"/>
                <w:szCs w:val="21"/>
                <w:lang w:eastAsia="zh-CN"/>
              </w:rPr>
              <w:t>、</w:t>
            </w:r>
            <w:r>
              <w:rPr>
                <w:rFonts w:hint="eastAsia" w:ascii="宋体" w:hAnsi="宋体" w:cs="宋体"/>
                <w:kern w:val="0"/>
                <w:szCs w:val="21"/>
              </w:rPr>
              <w:t>第三方组织专家提供考核结果。</w:t>
            </w:r>
          </w:p>
        </w:tc>
      </w:tr>
      <w:tr w14:paraId="2FB9D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41" w:hRule="atLeast"/>
          <w:jc w:val="center"/>
        </w:trPr>
        <w:tc>
          <w:tcPr>
            <w:tcW w:w="1282" w:type="dxa"/>
            <w:vMerge w:val="restart"/>
            <w:vAlign w:val="center"/>
          </w:tcPr>
          <w:p w14:paraId="3D633C49">
            <w:pPr>
              <w:widowControl/>
              <w:jc w:val="center"/>
              <w:rPr>
                <w:rFonts w:hint="eastAsia" w:ascii="宋体" w:hAnsi="宋体" w:cs="宋体"/>
                <w:kern w:val="0"/>
                <w:szCs w:val="21"/>
              </w:rPr>
            </w:pPr>
            <w:r>
              <w:rPr>
                <w:rFonts w:hint="eastAsia" w:ascii="宋体" w:hAnsi="宋体" w:cs="宋体"/>
                <w:kern w:val="0"/>
                <w:szCs w:val="21"/>
              </w:rPr>
              <w:t>四、</w:t>
            </w:r>
            <w:r>
              <w:rPr>
                <w:rFonts w:ascii="宋体" w:hAnsi="宋体" w:cs="宋体"/>
                <w:kern w:val="0"/>
                <w:szCs w:val="21"/>
              </w:rPr>
              <w:t>社会</w:t>
            </w:r>
          </w:p>
          <w:p w14:paraId="38A08AD2">
            <w:pPr>
              <w:widowControl/>
              <w:jc w:val="center"/>
              <w:rPr>
                <w:rFonts w:hint="eastAsia" w:ascii="宋体" w:hAnsi="宋体" w:cs="宋体"/>
                <w:kern w:val="0"/>
                <w:szCs w:val="21"/>
              </w:rPr>
            </w:pPr>
            <w:r>
              <w:rPr>
                <w:rFonts w:hint="eastAsia" w:ascii="宋体" w:hAnsi="宋体" w:cs="宋体"/>
                <w:kern w:val="0"/>
                <w:szCs w:val="21"/>
              </w:rPr>
              <w:t>评价（</w:t>
            </w:r>
            <w:r>
              <w:rPr>
                <w:rFonts w:ascii="宋体" w:hAnsi="宋体" w:cs="宋体"/>
                <w:kern w:val="0"/>
                <w:szCs w:val="21"/>
              </w:rPr>
              <w:t>12分）</w:t>
            </w:r>
          </w:p>
        </w:tc>
        <w:tc>
          <w:tcPr>
            <w:tcW w:w="994" w:type="dxa"/>
            <w:vMerge w:val="restart"/>
            <w:vAlign w:val="center"/>
          </w:tcPr>
          <w:p w14:paraId="24622981">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满意度评价（</w:t>
            </w:r>
            <w:r>
              <w:rPr>
                <w:rFonts w:ascii="宋体" w:hAnsi="宋体" w:cs="宋体"/>
                <w:kern w:val="0"/>
                <w:szCs w:val="21"/>
              </w:rPr>
              <w:t>12</w:t>
            </w:r>
            <w:r>
              <w:rPr>
                <w:rFonts w:hint="eastAsia" w:ascii="宋体" w:hAnsi="宋体" w:cs="宋体"/>
                <w:kern w:val="0"/>
                <w:szCs w:val="21"/>
              </w:rPr>
              <w:t>）</w:t>
            </w:r>
          </w:p>
        </w:tc>
        <w:tc>
          <w:tcPr>
            <w:tcW w:w="1134" w:type="dxa"/>
            <w:vAlign w:val="center"/>
          </w:tcPr>
          <w:p w14:paraId="441BF9A1">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.1患者</w:t>
            </w:r>
            <w:r>
              <w:rPr>
                <w:rFonts w:ascii="宋体" w:hAnsi="宋体" w:cs="宋体"/>
                <w:kern w:val="0"/>
                <w:szCs w:val="21"/>
              </w:rPr>
              <w:t>满意度（8分）</w:t>
            </w:r>
          </w:p>
        </w:tc>
        <w:tc>
          <w:tcPr>
            <w:tcW w:w="708" w:type="dxa"/>
            <w:vAlign w:val="center"/>
          </w:tcPr>
          <w:p w14:paraId="5BF46AE0">
            <w:pPr>
              <w:widowControl/>
              <w:jc w:val="center"/>
              <w:rPr>
                <w:rFonts w:hint="eastAsia" w:ascii="宋体" w:hAnsi="宋体" w:cs="宋体"/>
                <w:kern w:val="0"/>
                <w:szCs w:val="21"/>
              </w:rPr>
            </w:pPr>
            <w:r>
              <w:rPr>
                <w:rFonts w:ascii="宋体" w:hAnsi="宋体" w:cs="宋体"/>
                <w:kern w:val="0"/>
                <w:szCs w:val="21"/>
              </w:rPr>
              <w:t>8</w:t>
            </w:r>
          </w:p>
        </w:tc>
        <w:tc>
          <w:tcPr>
            <w:tcW w:w="7892" w:type="dxa"/>
            <w:vAlign w:val="center"/>
          </w:tcPr>
          <w:p w14:paraId="513987F6">
            <w:pPr>
              <w:widowControl/>
              <w:jc w:val="center"/>
              <w:rPr>
                <w:rFonts w:hint="eastAsia" w:ascii="宋体" w:hAnsi="宋体" w:cs="宋体"/>
                <w:kern w:val="0"/>
                <w:szCs w:val="21"/>
              </w:rPr>
            </w:pPr>
            <w:r>
              <w:rPr>
                <w:rFonts w:hint="eastAsia" w:ascii="宋体" w:hAnsi="宋体" w:cs="宋体"/>
                <w:kern w:val="0"/>
                <w:szCs w:val="21"/>
              </w:rPr>
              <w:t>得分</w:t>
            </w:r>
            <w:r>
              <w:rPr>
                <w:rFonts w:ascii="宋体" w:hAnsi="宋体" w:cs="宋体"/>
                <w:kern w:val="0"/>
                <w:szCs w:val="21"/>
              </w:rPr>
              <w:t>=第三方调查各区居民满意度综合评价指数。</w:t>
            </w:r>
          </w:p>
        </w:tc>
        <w:tc>
          <w:tcPr>
            <w:tcW w:w="2334" w:type="dxa"/>
            <w:vAlign w:val="center"/>
          </w:tcPr>
          <w:p w14:paraId="3C5F3D73">
            <w:pPr>
              <w:widowControl/>
              <w:jc w:val="center"/>
              <w:rPr>
                <w:rFonts w:hint="eastAsia" w:ascii="宋体" w:hAnsi="宋体" w:cs="宋体"/>
                <w:kern w:val="0"/>
                <w:szCs w:val="21"/>
              </w:rPr>
            </w:pPr>
            <w:r>
              <w:rPr>
                <w:rFonts w:hint="eastAsia" w:ascii="宋体" w:hAnsi="宋体" w:cs="宋体"/>
                <w:kern w:val="0"/>
                <w:szCs w:val="21"/>
              </w:rPr>
              <w:t>基层处提供考核结果。</w:t>
            </w:r>
          </w:p>
        </w:tc>
      </w:tr>
      <w:tr w14:paraId="68170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3" w:hRule="atLeast"/>
          <w:jc w:val="center"/>
        </w:trPr>
        <w:tc>
          <w:tcPr>
            <w:tcW w:w="1282" w:type="dxa"/>
            <w:vMerge w:val="continue"/>
            <w:vAlign w:val="center"/>
          </w:tcPr>
          <w:p w14:paraId="5654B94F">
            <w:pPr>
              <w:widowControl/>
              <w:jc w:val="center"/>
              <w:rPr>
                <w:rFonts w:hint="eastAsia" w:ascii="宋体" w:hAnsi="宋体" w:cs="宋体"/>
                <w:kern w:val="0"/>
                <w:szCs w:val="21"/>
              </w:rPr>
            </w:pPr>
          </w:p>
        </w:tc>
        <w:tc>
          <w:tcPr>
            <w:tcW w:w="994" w:type="dxa"/>
            <w:vMerge w:val="continue"/>
            <w:vAlign w:val="center"/>
          </w:tcPr>
          <w:p w14:paraId="26278B19">
            <w:pPr>
              <w:widowControl/>
              <w:jc w:val="center"/>
              <w:rPr>
                <w:rFonts w:ascii="宋体" w:hAnsi="宋体" w:cs="宋体"/>
                <w:kern w:val="0"/>
                <w:szCs w:val="21"/>
              </w:rPr>
            </w:pPr>
          </w:p>
        </w:tc>
        <w:tc>
          <w:tcPr>
            <w:tcW w:w="1134" w:type="dxa"/>
            <w:vAlign w:val="center"/>
          </w:tcPr>
          <w:p w14:paraId="262DF9F9">
            <w:pPr>
              <w:widowControl/>
              <w:jc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.2医务人员满意度（</w:t>
            </w:r>
            <w:r>
              <w:rPr>
                <w:rFonts w:ascii="宋体" w:hAnsi="宋体" w:cs="宋体"/>
                <w:kern w:val="0"/>
                <w:szCs w:val="21"/>
              </w:rPr>
              <w:t>4</w:t>
            </w:r>
            <w:r>
              <w:rPr>
                <w:rFonts w:hint="eastAsia" w:ascii="宋体" w:hAnsi="宋体" w:cs="宋体"/>
                <w:kern w:val="0"/>
                <w:szCs w:val="21"/>
              </w:rPr>
              <w:t>分）</w:t>
            </w:r>
          </w:p>
        </w:tc>
        <w:tc>
          <w:tcPr>
            <w:tcW w:w="708" w:type="dxa"/>
            <w:vAlign w:val="center"/>
          </w:tcPr>
          <w:p w14:paraId="4483A408">
            <w:pPr>
              <w:widowControl/>
              <w:jc w:val="center"/>
              <w:rPr>
                <w:rFonts w:ascii="宋体" w:hAnsi="宋体" w:cs="宋体"/>
                <w:kern w:val="0"/>
                <w:szCs w:val="21"/>
              </w:rPr>
            </w:pPr>
            <w:r>
              <w:rPr>
                <w:rFonts w:ascii="宋体" w:hAnsi="宋体" w:cs="宋体"/>
                <w:kern w:val="0"/>
                <w:szCs w:val="21"/>
              </w:rPr>
              <w:t>4</w:t>
            </w:r>
          </w:p>
        </w:tc>
        <w:tc>
          <w:tcPr>
            <w:tcW w:w="7892" w:type="dxa"/>
            <w:vAlign w:val="center"/>
          </w:tcPr>
          <w:p w14:paraId="4C77D70E">
            <w:pPr>
              <w:widowControl/>
              <w:jc w:val="center"/>
              <w:rPr>
                <w:rFonts w:hint="eastAsia" w:ascii="宋体" w:hAnsi="宋体" w:cs="宋体"/>
                <w:kern w:val="0"/>
                <w:szCs w:val="21"/>
              </w:rPr>
            </w:pPr>
            <w:r>
              <w:rPr>
                <w:rFonts w:hint="eastAsia" w:ascii="宋体" w:hAnsi="宋体" w:cs="宋体"/>
                <w:kern w:val="0"/>
                <w:szCs w:val="21"/>
              </w:rPr>
              <w:t>得分</w:t>
            </w:r>
            <w:r>
              <w:rPr>
                <w:rFonts w:ascii="宋体" w:hAnsi="宋体" w:cs="宋体"/>
                <w:kern w:val="0"/>
                <w:szCs w:val="21"/>
              </w:rPr>
              <w:t>=第三方调查各区</w:t>
            </w:r>
            <w:r>
              <w:rPr>
                <w:rFonts w:hint="eastAsia" w:ascii="宋体" w:hAnsi="宋体" w:cs="宋体"/>
                <w:kern w:val="0"/>
                <w:szCs w:val="21"/>
              </w:rPr>
              <w:t>社区医务人员</w:t>
            </w:r>
            <w:r>
              <w:rPr>
                <w:rFonts w:ascii="宋体" w:hAnsi="宋体" w:cs="宋体"/>
                <w:kern w:val="0"/>
                <w:szCs w:val="21"/>
              </w:rPr>
              <w:t>满意度综合评价指数。</w:t>
            </w:r>
          </w:p>
        </w:tc>
        <w:tc>
          <w:tcPr>
            <w:tcW w:w="2334" w:type="dxa"/>
            <w:vAlign w:val="center"/>
          </w:tcPr>
          <w:p w14:paraId="6B62EFDE">
            <w:pPr>
              <w:widowControl/>
              <w:jc w:val="center"/>
              <w:rPr>
                <w:rFonts w:hint="eastAsia" w:ascii="宋体" w:hAnsi="宋体" w:cs="宋体"/>
                <w:kern w:val="0"/>
                <w:szCs w:val="21"/>
              </w:rPr>
            </w:pPr>
            <w:r>
              <w:rPr>
                <w:rFonts w:hint="eastAsia" w:ascii="宋体" w:hAnsi="宋体" w:cs="宋体"/>
                <w:kern w:val="0"/>
                <w:szCs w:val="21"/>
              </w:rPr>
              <w:t>基层处提供考核结果。</w:t>
            </w:r>
          </w:p>
        </w:tc>
      </w:tr>
      <w:tr w14:paraId="2524C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08" w:type="dxa"/>
            <w:bottom w:w="15" w:type="dxa"/>
            <w:right w:w="108" w:type="dxa"/>
          </w:tblCellMar>
        </w:tblPrEx>
        <w:trPr>
          <w:trHeight w:val="30" w:hRule="atLeast"/>
          <w:jc w:val="center"/>
        </w:trPr>
        <w:tc>
          <w:tcPr>
            <w:tcW w:w="1282" w:type="dxa"/>
            <w:vAlign w:val="center"/>
          </w:tcPr>
          <w:p w14:paraId="567CB7C2">
            <w:pPr>
              <w:widowControl/>
              <w:jc w:val="center"/>
              <w:rPr>
                <w:rFonts w:hint="eastAsia" w:ascii="宋体" w:hAnsi="宋体" w:cs="宋体"/>
                <w:kern w:val="0"/>
                <w:szCs w:val="21"/>
              </w:rPr>
            </w:pPr>
          </w:p>
        </w:tc>
        <w:tc>
          <w:tcPr>
            <w:tcW w:w="994" w:type="dxa"/>
            <w:vAlign w:val="center"/>
          </w:tcPr>
          <w:p w14:paraId="29BB2D14">
            <w:pPr>
              <w:widowControl/>
              <w:jc w:val="center"/>
              <w:rPr>
                <w:rFonts w:hint="eastAsia" w:ascii="宋体" w:hAnsi="宋体" w:cs="宋体"/>
                <w:kern w:val="0"/>
                <w:szCs w:val="21"/>
              </w:rPr>
            </w:pPr>
          </w:p>
        </w:tc>
        <w:tc>
          <w:tcPr>
            <w:tcW w:w="1134" w:type="dxa"/>
            <w:vAlign w:val="center"/>
          </w:tcPr>
          <w:p w14:paraId="31D379FE">
            <w:pPr>
              <w:widowControl/>
              <w:jc w:val="center"/>
              <w:rPr>
                <w:rFonts w:ascii="宋体" w:hAnsi="宋体" w:cs="宋体"/>
                <w:kern w:val="0"/>
                <w:szCs w:val="21"/>
              </w:rPr>
            </w:pPr>
          </w:p>
        </w:tc>
        <w:tc>
          <w:tcPr>
            <w:tcW w:w="708" w:type="dxa"/>
            <w:vAlign w:val="center"/>
          </w:tcPr>
          <w:p w14:paraId="49AF000E">
            <w:pPr>
              <w:widowControl/>
              <w:jc w:val="center"/>
              <w:rPr>
                <w:rFonts w:hint="eastAsia"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=SUM(ABOVE) </w:instrText>
            </w:r>
            <w:r>
              <w:rPr>
                <w:rFonts w:ascii="宋体" w:hAnsi="宋体" w:cs="宋体"/>
                <w:kern w:val="0"/>
                <w:szCs w:val="21"/>
              </w:rPr>
              <w:fldChar w:fldCharType="separate"/>
            </w:r>
            <w:r>
              <w:rPr>
                <w:rFonts w:ascii="宋体" w:hAnsi="宋体" w:cs="宋体"/>
                <w:kern w:val="0"/>
                <w:szCs w:val="21"/>
              </w:rPr>
              <w:t>100</w: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SUM(ABOVE)  \* MERGEFORMAT </w:instrText>
            </w:r>
            <w:r>
              <w:rPr>
                <w:rFonts w:ascii="宋体" w:hAnsi="宋体" w:cs="宋体"/>
                <w:kern w:val="0"/>
                <w:szCs w:val="21"/>
              </w:rPr>
              <w:fldChar w:fldCharType="end"/>
            </w:r>
          </w:p>
        </w:tc>
        <w:tc>
          <w:tcPr>
            <w:tcW w:w="7892" w:type="dxa"/>
            <w:vAlign w:val="center"/>
          </w:tcPr>
          <w:p w14:paraId="3AECCE91">
            <w:pPr>
              <w:widowControl/>
              <w:jc w:val="center"/>
              <w:rPr>
                <w:rFonts w:hint="eastAsia" w:ascii="宋体" w:hAnsi="宋体" w:cs="宋体"/>
                <w:kern w:val="0"/>
                <w:szCs w:val="21"/>
              </w:rPr>
            </w:pPr>
          </w:p>
        </w:tc>
        <w:tc>
          <w:tcPr>
            <w:tcW w:w="2334" w:type="dxa"/>
            <w:vAlign w:val="center"/>
          </w:tcPr>
          <w:p w14:paraId="6AFEB143">
            <w:pPr>
              <w:widowControl/>
              <w:jc w:val="center"/>
              <w:rPr>
                <w:rFonts w:hint="eastAsia" w:ascii="宋体" w:hAnsi="宋体" w:cs="宋体"/>
                <w:kern w:val="0"/>
                <w:szCs w:val="21"/>
              </w:rPr>
            </w:pPr>
          </w:p>
        </w:tc>
      </w:tr>
      <w:bookmarkEnd w:id="0"/>
    </w:tbl>
    <w:p w14:paraId="6DCCE0A2">
      <w:pPr>
        <w:jc w:val="center"/>
      </w:pPr>
    </w:p>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6000396B"/>
    <w:multiLevelType w:val="singleLevel"/>
    <w:tmpl w:val="6000396B"/>
    <w:lvl w:ilvl="0" w:tentative="0">
      <w:start w:val="7"/>
      <w:numFmt w:val="decimal"/>
      <w:suff w:val="nothing"/>
      <w:lvlText w:val="%1."/>
      <w:lvlJc w:val="left"/>
    </w:lvl>
  </w:abstractNum>
  <w:abstractNum w:abstractNumId="3">
    <w:nsid w:val="6009612F"/>
    <w:multiLevelType w:val="singleLevel"/>
    <w:tmpl w:val="6009612F"/>
    <w:lvl w:ilvl="0" w:tentative="0">
      <w:start w:val="6"/>
      <w:numFmt w:val="decimal"/>
      <w:suff w:val="nothing"/>
      <w:lvlText w:val="%1."/>
      <w:lvlJc w:val="left"/>
    </w:lvl>
  </w:abstractNum>
  <w:abstractNum w:abstractNumId="4">
    <w:nsid w:val="600A3D38"/>
    <w:multiLevelType w:val="singleLevel"/>
    <w:tmpl w:val="600A3D38"/>
    <w:lvl w:ilvl="0" w:tentative="0">
      <w:start w:val="5"/>
      <w:numFmt w:val="decimal"/>
      <w:suff w:val="nothing"/>
      <w:lvlText w:val="%1."/>
      <w:lvlJc w:val="left"/>
    </w:lvl>
  </w:abstractNum>
  <w:abstractNum w:abstractNumId="5">
    <w:nsid w:val="600A770D"/>
    <w:multiLevelType w:val="singleLevel"/>
    <w:tmpl w:val="600A770D"/>
    <w:lvl w:ilvl="0" w:tentative="0">
      <w:start w:val="13"/>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A6F5B"/>
    <w:rsid w:val="03CD7DEE"/>
    <w:rsid w:val="44BA6F5B"/>
    <w:rsid w:val="749A4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rPr>
      <w:rFonts w:ascii="宋体" w:hAnsi="宋体" w:cs="Courier New"/>
      <w:sz w:val="32"/>
      <w:szCs w:val="32"/>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_Style 8"/>
    <w:basedOn w:val="1"/>
    <w:link w:val="4"/>
    <w:qFormat/>
    <w:uiPriority w:val="0"/>
    <w:rPr>
      <w:rFonts w:ascii="宋体" w:hAnsi="宋体" w:cs="Courier New"/>
      <w:sz w:val="32"/>
      <w:szCs w:val="32"/>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5208</Words>
  <Characters>5649</Characters>
  <Lines>0</Lines>
  <Paragraphs>0</Paragraphs>
  <TotalTime>0</TotalTime>
  <ScaleCrop>false</ScaleCrop>
  <LinksUpToDate>false</LinksUpToDate>
  <CharactersWithSpaces>5664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2021-02-01T08:12:00Z</dcterms:created>
  <dc:creator>ff8080815fa417fe015fa54c712101a2</dc:creator>
  <cp:lastModifiedBy>秉</cp:lastModifiedBy>
  <dcterms:modified xsi:type="dcterms:W3CDTF">2025-01-16T02:40:01Z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eyJoZGlkIjoiMTQwZDM2ODhiMTEwNDkyMjhmYWYxMmJlZGZlMTNmN2YiLCJ1c2VySWQiOiI1MjM0MjE0NjQifQ==</vt:lpwstr>
  </property>
  <property fmtid="{D5CDD505-2E9C-101B-9397-08002B2CF9AE}" pid="4" name="ICV">
    <vt:lpwstr>300653976B884E938906C0BFC94E9E95_12</vt:lpwstr>
  </property>
</Properties>
</file>