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仿宋" w:hAnsi="仿宋" w:eastAsia="仿宋" w:cs="宋体"/>
          <w:b/>
          <w:bCs/>
          <w:sz w:val="32"/>
          <w:szCs w:val="28"/>
        </w:rPr>
      </w:pPr>
      <w:r>
        <w:rPr>
          <w:rFonts w:ascii="仿宋" w:hAnsi="仿宋" w:eastAsia="仿宋" w:cs="宋体"/>
          <w:b/>
          <w:bCs/>
          <w:sz w:val="32"/>
          <w:szCs w:val="28"/>
        </w:rPr>
        <w:t>申请人须知</w:t>
      </w:r>
    </w:p>
    <w:p>
      <w:pPr>
        <w:spacing w:line="360" w:lineRule="auto"/>
        <w:rPr>
          <w:rFonts w:hint="eastAsia" w:ascii="仿宋" w:hAnsi="仿宋" w:eastAsia="仿宋" w:cs="宋体"/>
          <w:bCs/>
          <w:sz w:val="28"/>
          <w:szCs w:val="28"/>
        </w:rPr>
      </w:pPr>
      <w:r>
        <w:rPr>
          <w:rFonts w:hint="eastAsia" w:ascii="仿宋" w:hAnsi="仿宋" w:eastAsia="仿宋" w:cs="宋体"/>
          <w:bCs/>
          <w:sz w:val="28"/>
          <w:szCs w:val="28"/>
        </w:rPr>
        <w:t>1、遴选响应文件签署和盖章要求：遴选响应文件需打印或用不退色墨水书写，由申请人的法定代表人或其授权代表在遴选文件规定的地方签字，并进行逐页盖章或加盖骑缝章。</w:t>
      </w:r>
    </w:p>
    <w:p>
      <w:pPr>
        <w:spacing w:line="360" w:lineRule="auto"/>
        <w:rPr>
          <w:rFonts w:hint="eastAsia" w:ascii="仿宋" w:hAnsi="仿宋" w:eastAsia="仿宋" w:cs="宋体"/>
          <w:b/>
          <w:bCs/>
          <w:sz w:val="28"/>
          <w:szCs w:val="28"/>
        </w:rPr>
      </w:pPr>
      <w:r>
        <w:rPr>
          <w:rFonts w:hint="eastAsia" w:ascii="仿宋" w:hAnsi="仿宋" w:eastAsia="仿宋" w:cs="宋体"/>
          <w:bCs/>
          <w:sz w:val="28"/>
          <w:szCs w:val="28"/>
        </w:rPr>
        <w:t>2、遴选小组对申请人的遴选响应文件进行商务审查，以确定其是否满足遴选文件的实质性要求，并形成商务审查结果。申请人有任何一项不符合《商务审查表》要求的，</w:t>
      </w:r>
      <w:r>
        <w:rPr>
          <w:rFonts w:hint="eastAsia" w:ascii="仿宋" w:hAnsi="仿宋" w:eastAsia="仿宋" w:cs="宋体"/>
          <w:b/>
          <w:bCs/>
          <w:sz w:val="28"/>
          <w:szCs w:val="28"/>
        </w:rPr>
        <w:t>遴选响应无效。</w:t>
      </w:r>
    </w:p>
    <w:p>
      <w:pPr>
        <w:spacing w:line="360" w:lineRule="auto"/>
        <w:jc w:val="center"/>
        <w:rPr>
          <w:rFonts w:hint="eastAsia" w:ascii="仿宋" w:hAnsi="仿宋" w:eastAsia="仿宋" w:cs="宋体"/>
          <w:bCs/>
          <w:sz w:val="28"/>
          <w:szCs w:val="28"/>
        </w:rPr>
      </w:pPr>
      <w:r>
        <w:rPr>
          <w:rFonts w:hint="eastAsia" w:ascii="仿宋" w:hAnsi="仿宋" w:eastAsia="仿宋" w:cs="宋体"/>
          <w:bCs/>
          <w:sz w:val="28"/>
          <w:szCs w:val="28"/>
        </w:rPr>
        <w:t>商务审查表</w:t>
      </w:r>
    </w:p>
    <w:tbl>
      <w:tblPr>
        <w:tblStyle w:val="10"/>
        <w:tblW w:w="8528" w:type="dxa"/>
        <w:tblInd w:w="0" w:type="dxa"/>
        <w:tblLayout w:type="fixed"/>
        <w:tblCellMar>
          <w:top w:w="0" w:type="dxa"/>
          <w:left w:w="108" w:type="dxa"/>
          <w:bottom w:w="0" w:type="dxa"/>
          <w:right w:w="108" w:type="dxa"/>
        </w:tblCellMar>
      </w:tblPr>
      <w:tblGrid>
        <w:gridCol w:w="1102"/>
        <w:gridCol w:w="4042"/>
        <w:gridCol w:w="3384"/>
      </w:tblGrid>
      <w:tr>
        <w:tblPrEx>
          <w:tblCellMar>
            <w:top w:w="0" w:type="dxa"/>
            <w:left w:w="108" w:type="dxa"/>
            <w:bottom w:w="0" w:type="dxa"/>
            <w:right w:w="108" w:type="dxa"/>
          </w:tblCellMar>
        </w:tblPrEx>
        <w:trPr>
          <w:trHeight w:val="840" w:hRule="atLeast"/>
        </w:trPr>
        <w:tc>
          <w:tcPr>
            <w:tcW w:w="1102"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序号</w:t>
            </w:r>
          </w:p>
        </w:tc>
        <w:tc>
          <w:tcPr>
            <w:tcW w:w="7426"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kern w:val="0"/>
                <w:sz w:val="20"/>
                <w:szCs w:val="20"/>
              </w:rPr>
            </w:pPr>
            <w:r>
              <w:rPr>
                <w:rFonts w:hint="eastAsia" w:ascii="仿宋" w:hAnsi="仿宋" w:eastAsia="仿宋" w:cs="宋体"/>
                <w:kern w:val="0"/>
                <w:sz w:val="28"/>
                <w:szCs w:val="28"/>
              </w:rPr>
              <w:t>审查内容</w:t>
            </w:r>
          </w:p>
        </w:tc>
      </w:tr>
      <w:tr>
        <w:tblPrEx>
          <w:tblCellMar>
            <w:top w:w="0" w:type="dxa"/>
            <w:left w:w="108" w:type="dxa"/>
            <w:bottom w:w="0" w:type="dxa"/>
            <w:right w:w="108" w:type="dxa"/>
          </w:tblCellMar>
        </w:tblPrEx>
        <w:trPr>
          <w:trHeight w:val="668" w:hRule="atLeast"/>
        </w:trPr>
        <w:tc>
          <w:tcPr>
            <w:tcW w:w="1102"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1</w:t>
            </w:r>
          </w:p>
        </w:tc>
        <w:tc>
          <w:tcPr>
            <w:tcW w:w="7426" w:type="dxa"/>
            <w:gridSpan w:val="2"/>
            <w:tcBorders>
              <w:top w:val="nil"/>
              <w:left w:val="single" w:color="000000" w:sz="4" w:space="0"/>
              <w:bottom w:val="single" w:color="000000" w:sz="4" w:space="0"/>
              <w:right w:val="single" w:color="auto" w:sz="4" w:space="0"/>
            </w:tcBorders>
            <w:vAlign w:val="center"/>
          </w:tcPr>
          <w:p>
            <w:pPr>
              <w:widowControl/>
              <w:jc w:val="left"/>
              <w:rPr>
                <w:rFonts w:hint="eastAsia" w:ascii="仿宋" w:hAnsi="仿宋" w:eastAsia="仿宋" w:cs="宋体"/>
                <w:kern w:val="0"/>
                <w:sz w:val="28"/>
                <w:szCs w:val="28"/>
              </w:rPr>
            </w:pPr>
            <w:r>
              <w:rPr>
                <w:rFonts w:hint="eastAsia" w:ascii="仿宋" w:hAnsi="仿宋" w:eastAsia="仿宋" w:cs="宋体"/>
                <w:kern w:val="0"/>
                <w:sz w:val="28"/>
                <w:szCs w:val="28"/>
              </w:rPr>
              <w:t>遴选报价是否超过遴选文件规定预算金额</w:t>
            </w:r>
          </w:p>
        </w:tc>
      </w:tr>
      <w:tr>
        <w:tblPrEx>
          <w:tblCellMar>
            <w:top w:w="0" w:type="dxa"/>
            <w:left w:w="108" w:type="dxa"/>
            <w:bottom w:w="0" w:type="dxa"/>
            <w:right w:w="108" w:type="dxa"/>
          </w:tblCellMar>
        </w:tblPrEx>
        <w:trPr>
          <w:trHeight w:val="706" w:hRule="atLeast"/>
        </w:trPr>
        <w:tc>
          <w:tcPr>
            <w:tcW w:w="1102"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2</w:t>
            </w:r>
          </w:p>
        </w:tc>
        <w:tc>
          <w:tcPr>
            <w:tcW w:w="7426" w:type="dxa"/>
            <w:gridSpan w:val="2"/>
            <w:tcBorders>
              <w:top w:val="nil"/>
              <w:left w:val="single" w:color="000000" w:sz="4" w:space="0"/>
              <w:bottom w:val="single" w:color="000000" w:sz="4" w:space="0"/>
              <w:right w:val="single" w:color="auto" w:sz="4" w:space="0"/>
            </w:tcBorders>
            <w:vAlign w:val="center"/>
          </w:tcPr>
          <w:p>
            <w:pPr>
              <w:widowControl/>
              <w:jc w:val="left"/>
              <w:rPr>
                <w:rFonts w:hint="eastAsia" w:ascii="仿宋" w:hAnsi="仿宋" w:eastAsia="仿宋" w:cs="宋体"/>
                <w:kern w:val="0"/>
                <w:sz w:val="28"/>
                <w:szCs w:val="28"/>
              </w:rPr>
            </w:pPr>
            <w:r>
              <w:rPr>
                <w:rFonts w:hint="eastAsia" w:ascii="仿宋" w:hAnsi="仿宋" w:eastAsia="仿宋" w:cs="宋体"/>
                <w:kern w:val="0"/>
                <w:sz w:val="28"/>
                <w:szCs w:val="28"/>
              </w:rPr>
              <w:t>遴选文件的签署、盖章是否合格</w:t>
            </w:r>
          </w:p>
        </w:tc>
      </w:tr>
      <w:tr>
        <w:trPr>
          <w:trHeight w:val="830" w:hRule="atLeast"/>
        </w:trPr>
        <w:tc>
          <w:tcPr>
            <w:tcW w:w="1102"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3</w:t>
            </w:r>
          </w:p>
        </w:tc>
        <w:tc>
          <w:tcPr>
            <w:tcW w:w="7426" w:type="dxa"/>
            <w:gridSpan w:val="2"/>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宋体"/>
                <w:kern w:val="0"/>
                <w:sz w:val="28"/>
                <w:szCs w:val="28"/>
              </w:rPr>
            </w:pPr>
            <w:r>
              <w:rPr>
                <w:rFonts w:hint="eastAsia" w:ascii="仿宋" w:hAnsi="仿宋" w:eastAsia="仿宋" w:cs="宋体"/>
                <w:kern w:val="0"/>
                <w:sz w:val="28"/>
                <w:szCs w:val="28"/>
              </w:rPr>
              <w:t>是否提供满足遴选文件中要求的申请人资格要求的承诺函</w:t>
            </w:r>
          </w:p>
        </w:tc>
      </w:tr>
      <w:tr>
        <w:tblPrEx>
          <w:tblCellMar>
            <w:top w:w="0" w:type="dxa"/>
            <w:left w:w="108" w:type="dxa"/>
            <w:bottom w:w="0" w:type="dxa"/>
            <w:right w:w="108" w:type="dxa"/>
          </w:tblCellMar>
        </w:tblPrEx>
        <w:trPr>
          <w:trHeight w:val="830" w:hRule="atLeast"/>
        </w:trPr>
        <w:tc>
          <w:tcPr>
            <w:tcW w:w="1102"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4</w:t>
            </w:r>
          </w:p>
        </w:tc>
        <w:tc>
          <w:tcPr>
            <w:tcW w:w="7426" w:type="dxa"/>
            <w:gridSpan w:val="2"/>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宋体"/>
                <w:kern w:val="0"/>
                <w:sz w:val="28"/>
                <w:szCs w:val="28"/>
              </w:rPr>
            </w:pPr>
            <w:r>
              <w:rPr>
                <w:rFonts w:hint="eastAsia" w:ascii="仿宋" w:hAnsi="仿宋" w:eastAsia="仿宋" w:cs="宋体"/>
                <w:kern w:val="0"/>
                <w:sz w:val="28"/>
                <w:szCs w:val="28"/>
              </w:rPr>
              <w:t>是否为独立法人</w:t>
            </w:r>
          </w:p>
        </w:tc>
      </w:tr>
      <w:tr>
        <w:tblPrEx>
          <w:tblCellMar>
            <w:top w:w="0" w:type="dxa"/>
            <w:left w:w="108" w:type="dxa"/>
            <w:bottom w:w="0" w:type="dxa"/>
            <w:right w:w="108" w:type="dxa"/>
          </w:tblCellMar>
        </w:tblPrEx>
        <w:trPr>
          <w:trHeight w:val="765" w:hRule="atLeast"/>
        </w:trPr>
        <w:tc>
          <w:tcPr>
            <w:tcW w:w="5144" w:type="dxa"/>
            <w:gridSpan w:val="2"/>
            <w:tcBorders>
              <w:top w:val="single" w:color="auto" w:sz="4" w:space="0"/>
              <w:left w:val="single" w:color="auto" w:sz="4" w:space="0"/>
              <w:bottom w:val="single" w:color="auto" w:sz="4" w:space="0"/>
              <w:right w:val="nil"/>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结论</w:t>
            </w:r>
          </w:p>
        </w:tc>
        <w:tc>
          <w:tcPr>
            <w:tcW w:w="3384" w:type="dxa"/>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28"/>
                <w:szCs w:val="28"/>
              </w:rPr>
            </w:pPr>
            <w:r>
              <w:rPr>
                <w:rFonts w:hint="eastAsia" w:ascii="仿宋" w:hAnsi="仿宋" w:eastAsia="仿宋" w:cs="宋体"/>
                <w:kern w:val="0"/>
                <w:sz w:val="28"/>
                <w:szCs w:val="28"/>
              </w:rPr>
              <w:t>合格/不合格</w:t>
            </w:r>
          </w:p>
        </w:tc>
      </w:tr>
    </w:tbl>
    <w:p>
      <w:pPr>
        <w:spacing w:line="360" w:lineRule="auto"/>
        <w:rPr>
          <w:rFonts w:hint="eastAsia" w:ascii="仿宋" w:hAnsi="仿宋" w:eastAsia="仿宋" w:cs="宋体"/>
          <w:bCs/>
          <w:sz w:val="28"/>
          <w:szCs w:val="28"/>
        </w:rPr>
      </w:pPr>
      <w:r>
        <w:rPr>
          <w:rFonts w:hint="eastAsia" w:ascii="仿宋" w:hAnsi="仿宋" w:eastAsia="仿宋" w:cs="宋体"/>
          <w:bCs/>
          <w:sz w:val="28"/>
          <w:szCs w:val="28"/>
        </w:rPr>
        <w:t>3、遴选响应文件有关事项的澄清或者说明：评审过程中，遴选小组会将以书面形式要求申请人对其遴选响应文件中含义不明确、同类问题表述不一致或者有明显文字和计算错误的内容，作出必要的澄清、说明或者补正。申请人的澄清、说明或者补正应当采用书面形式，并加盖公章，或者由法定代表人或其授权的代表签字。申请人的澄清、说明或者补正不得超出遴选文件的范围或者改变遴选文件的实质性内容。澄清文件将作为遴选文件内容的一部分。</w:t>
      </w:r>
    </w:p>
    <w:p>
      <w:pPr>
        <w:spacing w:line="360" w:lineRule="auto"/>
        <w:rPr>
          <w:rFonts w:hint="eastAsia" w:ascii="仿宋" w:hAnsi="仿宋" w:eastAsia="仿宋" w:cs="宋体"/>
          <w:bCs/>
          <w:sz w:val="28"/>
          <w:szCs w:val="28"/>
        </w:rPr>
      </w:pPr>
      <w:r>
        <w:rPr>
          <w:rFonts w:hint="eastAsia" w:ascii="仿宋" w:hAnsi="仿宋" w:eastAsia="仿宋" w:cs="宋体"/>
          <w:bCs/>
          <w:sz w:val="28"/>
          <w:szCs w:val="28"/>
        </w:rPr>
        <w:t>4、本项目采用的评标方法为综合评分法。采用综合评分法时，评审结果按评审后得分由高到低顺序排列。得分相同的，按遴选响应报价由低到高顺序排列。得分且遴选响应报价相同的并列。遴选响应文件满足遴选文件全部实质性要求，且按照评审因素的量化指标评审得分最高的申请人为排名第一的成交候选人。</w:t>
      </w:r>
      <w:r>
        <w:rPr>
          <w:rFonts w:hint="eastAsia" w:ascii="仿宋" w:hAnsi="仿宋" w:eastAsia="仿宋" w:cs="宋体"/>
          <w:b/>
          <w:bCs/>
          <w:sz w:val="28"/>
          <w:szCs w:val="28"/>
        </w:rPr>
        <w:t>由各业务处室最终决定成交申请人。</w:t>
      </w:r>
      <w:r>
        <w:rPr>
          <w:rFonts w:hint="eastAsia" w:ascii="仿宋" w:hAnsi="仿宋" w:eastAsia="仿宋" w:cs="宋体"/>
          <w:bCs/>
          <w:sz w:val="28"/>
          <w:szCs w:val="28"/>
        </w:rPr>
        <w:t>评分分值计算保留小数点后两位，第三位四舍五入。</w:t>
      </w:r>
    </w:p>
    <w:p>
      <w:pPr>
        <w:spacing w:line="360" w:lineRule="auto"/>
        <w:jc w:val="left"/>
        <w:rPr>
          <w:rFonts w:hint="eastAsia" w:ascii="仿宋" w:hAnsi="仿宋" w:eastAsia="仿宋" w:cs="宋体"/>
          <w:bCs/>
          <w:sz w:val="28"/>
          <w:szCs w:val="28"/>
        </w:rPr>
      </w:pPr>
      <w:r>
        <w:rPr>
          <w:rFonts w:hint="eastAsia" w:ascii="仿宋" w:hAnsi="仿宋" w:eastAsia="仿宋" w:cs="宋体"/>
          <w:bCs/>
          <w:sz w:val="28"/>
          <w:szCs w:val="28"/>
        </w:rPr>
        <w:t>5、如对本项目进行实质性响应的供应商不足2家但大于等于1家时，项目主办处室决定是否继续进行采购活动或延期遴选文件获取时间及递交申请文件时间。如继续进行采购活动，如评审小组按照遴选文件对供应商的申请文件综合打分不足60分时，项目主办处室可以选择本项目废标。</w:t>
      </w:r>
    </w:p>
    <w:p>
      <w:pPr>
        <w:spacing w:line="360" w:lineRule="auto"/>
        <w:rPr>
          <w:rFonts w:hint="eastAsia" w:ascii="仿宋" w:hAnsi="仿宋" w:eastAsia="仿宋" w:cs="宋体"/>
          <w:bCs/>
          <w:sz w:val="28"/>
          <w:szCs w:val="28"/>
        </w:rPr>
      </w:pPr>
      <w:r>
        <w:rPr>
          <w:rFonts w:hint="eastAsia" w:ascii="仿宋" w:hAnsi="仿宋" w:eastAsia="仿宋" w:cs="宋体"/>
          <w:bCs/>
          <w:sz w:val="28"/>
          <w:szCs w:val="28"/>
        </w:rPr>
        <w:t>6、成交供应商拒绝与采购人签订合同的，采购人可以按照评审报告推荐的成交候选人名单排序，确定下一候选人为成交供应商，也可以重新开展采购活动。</w:t>
      </w:r>
    </w:p>
    <w:p>
      <w:pPr>
        <w:spacing w:line="360" w:lineRule="auto"/>
        <w:rPr>
          <w:rFonts w:ascii="仿宋" w:hAnsi="仿宋" w:eastAsia="仿宋" w:cs="宋体"/>
          <w:bCs/>
          <w:sz w:val="28"/>
          <w:szCs w:val="28"/>
        </w:rPr>
      </w:pPr>
    </w:p>
    <w:p>
      <w:pPr>
        <w:spacing w:line="360" w:lineRule="auto"/>
        <w:rPr>
          <w:rFonts w:hint="eastAsia" w:ascii="仿宋" w:hAnsi="仿宋" w:eastAsia="仿宋" w:cs="宋体"/>
          <w:bCs/>
          <w:sz w:val="28"/>
          <w:szCs w:val="28"/>
        </w:rPr>
      </w:pPr>
    </w:p>
    <w:p>
      <w:pPr>
        <w:spacing w:line="360" w:lineRule="auto"/>
        <w:rPr>
          <w:rFonts w:hint="eastAsia" w:ascii="仿宋" w:hAnsi="仿宋" w:eastAsia="仿宋" w:cs="宋体"/>
          <w:bCs/>
          <w:sz w:val="28"/>
          <w:szCs w:val="28"/>
        </w:rPr>
      </w:pPr>
    </w:p>
    <w:p>
      <w:pPr>
        <w:spacing w:line="360" w:lineRule="auto"/>
        <w:rPr>
          <w:rFonts w:hint="eastAsia" w:ascii="仿宋" w:hAnsi="仿宋" w:eastAsia="仿宋" w:cs="宋体"/>
          <w:bCs/>
          <w:sz w:val="28"/>
          <w:szCs w:val="28"/>
        </w:rPr>
      </w:pPr>
    </w:p>
    <w:p>
      <w:pPr>
        <w:spacing w:line="360" w:lineRule="auto"/>
        <w:jc w:val="center"/>
        <w:rPr>
          <w:rFonts w:hint="eastAsia" w:ascii="仿宋" w:hAnsi="仿宋" w:eastAsia="仿宋" w:cs="宋体"/>
          <w:b/>
          <w:bCs/>
          <w:sz w:val="32"/>
          <w:szCs w:val="28"/>
        </w:rPr>
      </w:pPr>
      <w:r>
        <w:rPr>
          <w:rFonts w:ascii="仿宋" w:hAnsi="仿宋" w:eastAsia="仿宋" w:cs="宋体"/>
          <w:b/>
          <w:bCs/>
          <w:sz w:val="32"/>
          <w:szCs w:val="28"/>
        </w:rPr>
        <w:t>评分标准</w:t>
      </w:r>
    </w:p>
    <w:tbl>
      <w:tblPr>
        <w:tblStyle w:val="10"/>
        <w:tblpPr w:leftFromText="180" w:rightFromText="180" w:vertAnchor="page" w:horzAnchor="page" w:tblpX="1878" w:tblpY="2310"/>
        <w:tblW w:w="8528" w:type="dxa"/>
        <w:tblInd w:w="0" w:type="dxa"/>
        <w:tblLayout w:type="fixed"/>
        <w:tblCellMar>
          <w:top w:w="0" w:type="dxa"/>
          <w:left w:w="108" w:type="dxa"/>
          <w:bottom w:w="0" w:type="dxa"/>
          <w:right w:w="108" w:type="dxa"/>
        </w:tblCellMar>
      </w:tblPr>
      <w:tblGrid>
        <w:gridCol w:w="1003"/>
        <w:gridCol w:w="1344"/>
        <w:gridCol w:w="4798"/>
        <w:gridCol w:w="1383"/>
      </w:tblGrid>
      <w:tr>
        <w:tblPrEx>
          <w:tblCellMar>
            <w:top w:w="0" w:type="dxa"/>
            <w:left w:w="108" w:type="dxa"/>
            <w:bottom w:w="0" w:type="dxa"/>
            <w:right w:w="108" w:type="dxa"/>
          </w:tblCellMar>
        </w:tblPrEx>
        <w:trPr>
          <w:trHeight w:val="1305" w:hRule="atLeast"/>
        </w:trPr>
        <w:tc>
          <w:tcPr>
            <w:tcW w:w="100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Cs w:val="21"/>
              </w:rPr>
            </w:pPr>
            <w:r>
              <w:rPr>
                <w:rFonts w:hint="eastAsia" w:ascii="仿宋" w:hAnsi="仿宋" w:eastAsia="仿宋" w:cs="宋体"/>
                <w:kern w:val="0"/>
                <w:szCs w:val="21"/>
              </w:rPr>
              <w:t>内容</w:t>
            </w:r>
          </w:p>
        </w:tc>
        <w:tc>
          <w:tcPr>
            <w:tcW w:w="1344" w:type="dxa"/>
            <w:tcBorders>
              <w:top w:val="single" w:color="auto" w:sz="4" w:space="0"/>
              <w:left w:val="nil"/>
              <w:bottom w:val="nil"/>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评分因素分项</w:t>
            </w:r>
          </w:p>
        </w:tc>
        <w:tc>
          <w:tcPr>
            <w:tcW w:w="4798" w:type="dxa"/>
            <w:tcBorders>
              <w:top w:val="single" w:color="auto" w:sz="4" w:space="0"/>
              <w:left w:val="nil"/>
              <w:bottom w:val="nil"/>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评分标准</w:t>
            </w:r>
          </w:p>
        </w:tc>
        <w:tc>
          <w:tcPr>
            <w:tcW w:w="1383" w:type="dxa"/>
            <w:tcBorders>
              <w:top w:val="single" w:color="auto" w:sz="4" w:space="0"/>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分值</w:t>
            </w:r>
          </w:p>
        </w:tc>
      </w:tr>
      <w:tr>
        <w:tblPrEx>
          <w:tblCellMar>
            <w:top w:w="0" w:type="dxa"/>
            <w:left w:w="108" w:type="dxa"/>
            <w:bottom w:w="0" w:type="dxa"/>
            <w:right w:w="108" w:type="dxa"/>
          </w:tblCellMar>
        </w:tblPrEx>
        <w:trPr>
          <w:trHeight w:val="675" w:hRule="atLeast"/>
        </w:trPr>
        <w:tc>
          <w:tcPr>
            <w:tcW w:w="1003" w:type="dxa"/>
            <w:tcBorders>
              <w:top w:val="nil"/>
              <w:left w:val="single" w:color="auto" w:sz="4" w:space="0"/>
              <w:bottom w:val="single" w:color="auto" w:sz="4" w:space="0"/>
              <w:right w:val="nil"/>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价格部分（10分）</w:t>
            </w:r>
          </w:p>
        </w:tc>
        <w:tc>
          <w:tcPr>
            <w:tcW w:w="134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价格（10分）</w:t>
            </w:r>
          </w:p>
        </w:tc>
        <w:tc>
          <w:tcPr>
            <w:tcW w:w="4798" w:type="dxa"/>
            <w:tcBorders>
              <w:top w:val="single" w:color="auto" w:sz="4" w:space="0"/>
              <w:left w:val="nil"/>
              <w:bottom w:val="single" w:color="auto" w:sz="4" w:space="0"/>
              <w:right w:val="single" w:color="auto" w:sz="4" w:space="0"/>
            </w:tcBorders>
            <w:vAlign w:val="center"/>
          </w:tcPr>
          <w:p>
            <w:pPr>
              <w:widowControl/>
              <w:rPr>
                <w:rFonts w:hint="eastAsia" w:ascii="仿宋" w:hAnsi="仿宋" w:eastAsia="仿宋" w:cs="宋体"/>
                <w:kern w:val="0"/>
                <w:sz w:val="18"/>
                <w:szCs w:val="18"/>
              </w:rPr>
            </w:pPr>
            <w:r>
              <w:rPr>
                <w:rFonts w:hint="eastAsia" w:ascii="仿宋" w:hAnsi="仿宋" w:eastAsia="仿宋" w:cs="宋体"/>
                <w:kern w:val="0"/>
                <w:sz w:val="18"/>
                <w:szCs w:val="18"/>
              </w:rPr>
              <w:t>报价得分=（评审基准价/报价）×价格权值10</w:t>
            </w:r>
          </w:p>
          <w:p>
            <w:pPr>
              <w:widowControl/>
              <w:rPr>
                <w:rFonts w:hint="eastAsia" w:ascii="仿宋" w:hAnsi="仿宋" w:eastAsia="仿宋" w:cs="宋体"/>
                <w:kern w:val="0"/>
                <w:sz w:val="18"/>
                <w:szCs w:val="18"/>
              </w:rPr>
            </w:pPr>
            <w:r>
              <w:rPr>
                <w:rFonts w:hint="eastAsia" w:ascii="仿宋" w:hAnsi="仿宋" w:eastAsia="仿宋" w:cs="宋体"/>
                <w:kern w:val="0"/>
                <w:sz w:val="18"/>
                <w:szCs w:val="18"/>
              </w:rPr>
              <w:t>注：实质性响应遴选文件要求且价格最低的报价为评审基准价。</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10</w:t>
            </w:r>
          </w:p>
        </w:tc>
      </w:tr>
      <w:tr>
        <w:tblPrEx>
          <w:tblCellMar>
            <w:top w:w="0" w:type="dxa"/>
            <w:left w:w="108" w:type="dxa"/>
            <w:bottom w:w="0" w:type="dxa"/>
            <w:right w:w="108" w:type="dxa"/>
          </w:tblCellMar>
        </w:tblPrEx>
        <w:trPr>
          <w:trHeight w:val="525" w:hRule="atLeast"/>
        </w:trPr>
        <w:tc>
          <w:tcPr>
            <w:tcW w:w="1003"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商务</w:t>
            </w:r>
            <w:r>
              <w:rPr>
                <w:rFonts w:hint="eastAsia" w:ascii="仿宋" w:hAnsi="仿宋" w:eastAsia="仿宋" w:cs="宋体"/>
                <w:kern w:val="0"/>
                <w:sz w:val="18"/>
                <w:szCs w:val="18"/>
              </w:rPr>
              <w:br w:type="textWrapping"/>
            </w:r>
            <w:r>
              <w:rPr>
                <w:rFonts w:hint="eastAsia" w:ascii="仿宋" w:hAnsi="仿宋" w:eastAsia="仿宋" w:cs="宋体"/>
                <w:kern w:val="0"/>
                <w:sz w:val="18"/>
                <w:szCs w:val="18"/>
              </w:rPr>
              <w:t>（25分）</w:t>
            </w: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供应商基本情况</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cs="宋体"/>
                <w:kern w:val="0"/>
                <w:sz w:val="18"/>
                <w:szCs w:val="18"/>
              </w:rPr>
            </w:pPr>
            <w:r>
              <w:rPr>
                <w:rFonts w:hint="eastAsia" w:ascii="仿宋" w:hAnsi="仿宋" w:eastAsia="仿宋" w:cs="宋体"/>
                <w:kern w:val="0"/>
                <w:sz w:val="18"/>
                <w:szCs w:val="18"/>
              </w:rPr>
              <w:t>供应商资质情况良好（承担专业资质等）得5分。</w:t>
            </w:r>
            <w:r>
              <w:rPr>
                <w:rFonts w:hint="eastAsia" w:ascii="仿宋" w:hAnsi="仿宋" w:eastAsia="仿宋" w:cs="宋体"/>
                <w:kern w:val="0"/>
                <w:sz w:val="18"/>
                <w:szCs w:val="18"/>
              </w:rPr>
              <w:br w:type="textWrapping"/>
            </w:r>
            <w:r>
              <w:rPr>
                <w:rFonts w:hint="eastAsia" w:ascii="仿宋" w:hAnsi="仿宋" w:eastAsia="仿宋" w:cs="宋体"/>
                <w:kern w:val="0"/>
                <w:sz w:val="18"/>
                <w:szCs w:val="18"/>
              </w:rPr>
              <w:t>注：供应商需提供相关证明材料，否则不予认可。</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5</w:t>
            </w:r>
          </w:p>
        </w:tc>
      </w:tr>
      <w:tr>
        <w:tblPrEx>
          <w:tblCellMar>
            <w:top w:w="0" w:type="dxa"/>
            <w:left w:w="108" w:type="dxa"/>
            <w:bottom w:w="0" w:type="dxa"/>
            <w:right w:w="108" w:type="dxa"/>
          </w:tblCellMar>
        </w:tblPrEx>
        <w:trPr>
          <w:trHeight w:val="1035" w:hRule="atLeast"/>
        </w:trPr>
        <w:tc>
          <w:tcPr>
            <w:tcW w:w="100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宋体"/>
                <w:kern w:val="0"/>
                <w:sz w:val="18"/>
                <w:szCs w:val="18"/>
              </w:rPr>
            </w:pP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供应商的业绩</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供应商近三年（2023年3月起至本采购活动遴选公告发布前（以合同签订日期为准））承接过类似服务业绩，每提供1个业绩得5分，最多得20分。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注：需提供业绩合同或协议复印件并加盖公章，如无材料证明或证明材料不完整，上述内容将视为零分。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20</w:t>
            </w:r>
          </w:p>
        </w:tc>
      </w:tr>
      <w:tr>
        <w:tblPrEx>
          <w:tblCellMar>
            <w:top w:w="0" w:type="dxa"/>
            <w:left w:w="108" w:type="dxa"/>
            <w:bottom w:w="0" w:type="dxa"/>
            <w:right w:w="108" w:type="dxa"/>
          </w:tblCellMar>
        </w:tblPrEx>
        <w:trPr>
          <w:trHeight w:val="810" w:hRule="atLeast"/>
        </w:trPr>
        <w:tc>
          <w:tcPr>
            <w:tcW w:w="1003" w:type="dxa"/>
            <w:vMerge w:val="restart"/>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技术</w:t>
            </w:r>
            <w:r>
              <w:rPr>
                <w:rFonts w:hint="eastAsia" w:ascii="仿宋" w:hAnsi="仿宋" w:eastAsia="仿宋" w:cs="宋体"/>
                <w:kern w:val="0"/>
                <w:sz w:val="18"/>
                <w:szCs w:val="18"/>
              </w:rPr>
              <w:br w:type="textWrapping"/>
            </w:r>
            <w:r>
              <w:rPr>
                <w:rFonts w:hint="eastAsia" w:ascii="仿宋" w:hAnsi="仿宋" w:eastAsia="仿宋" w:cs="宋体"/>
                <w:kern w:val="0"/>
                <w:sz w:val="18"/>
                <w:szCs w:val="18"/>
              </w:rPr>
              <w:t>（65分）</w:t>
            </w: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项目方案</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整体方案设计及工作流程计划：完善、合理，具有针对性，科学性、可操作性强，进度安排最合理高效，能够完全满足采购人需求得16-20分；方案基本完整、合理，针对性、可操作性一般，进度安排基本满足需求得9-15分；方案一般，较简单，得4-8分；方案粗略、较差得1-3分，不提供得0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20</w:t>
            </w:r>
          </w:p>
        </w:tc>
      </w:tr>
      <w:tr>
        <w:tblPrEx>
          <w:tblCellMar>
            <w:top w:w="0" w:type="dxa"/>
            <w:left w:w="108" w:type="dxa"/>
            <w:bottom w:w="0" w:type="dxa"/>
            <w:right w:w="108" w:type="dxa"/>
          </w:tblCellMar>
        </w:tblPrEx>
        <w:trPr>
          <w:trHeight w:val="810" w:hRule="atLeast"/>
        </w:trPr>
        <w:tc>
          <w:tcPr>
            <w:tcW w:w="1003" w:type="dxa"/>
            <w:vMerge w:val="continue"/>
            <w:tcBorders>
              <w:left w:val="single" w:color="auto" w:sz="4" w:space="0"/>
              <w:right w:val="single" w:color="auto" w:sz="4" w:space="0"/>
            </w:tcBorders>
            <w:vAlign w:val="center"/>
          </w:tcPr>
          <w:p>
            <w:pPr>
              <w:widowControl/>
              <w:jc w:val="center"/>
              <w:rPr>
                <w:rFonts w:hint="eastAsia" w:ascii="仿宋" w:hAnsi="仿宋" w:eastAsia="仿宋" w:cs="宋体"/>
                <w:kern w:val="0"/>
                <w:sz w:val="18"/>
                <w:szCs w:val="18"/>
              </w:rPr>
            </w:pP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需求理解和分析</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投标人对本项目的背景、工作内容、建设目标，以及重点、难点、关键点等的理解程度及相关分析情况：</w:t>
            </w:r>
          </w:p>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项目需求分析内容完整、分析透彻、理解项目管理要求，按项目特点找到重点难点问题并提出完善解决方案，得5分；提供了通用、简单的分析理解，基本符合采购需求，或理解程度不够深入，得3分；需求分析内容有偏差、未理解项目工作要求，得0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5</w:t>
            </w:r>
          </w:p>
        </w:tc>
      </w:tr>
      <w:tr>
        <w:tblPrEx>
          <w:tblCellMar>
            <w:top w:w="0" w:type="dxa"/>
            <w:left w:w="108" w:type="dxa"/>
            <w:bottom w:w="0" w:type="dxa"/>
            <w:right w:w="108" w:type="dxa"/>
          </w:tblCellMar>
        </w:tblPrEx>
        <w:trPr>
          <w:trHeight w:val="1445" w:hRule="atLeast"/>
        </w:trPr>
        <w:tc>
          <w:tcPr>
            <w:tcW w:w="100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宋体"/>
                <w:kern w:val="0"/>
                <w:sz w:val="18"/>
                <w:szCs w:val="18"/>
              </w:rPr>
            </w:pP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项目人员配备方案</w:t>
            </w:r>
          </w:p>
        </w:tc>
        <w:tc>
          <w:tcPr>
            <w:tcW w:w="4798" w:type="dxa"/>
            <w:tcBorders>
              <w:top w:val="nil"/>
              <w:left w:val="nil"/>
              <w:bottom w:val="single" w:color="auto" w:sz="4" w:space="0"/>
              <w:right w:val="single" w:color="auto" w:sz="4" w:space="0"/>
            </w:tcBorders>
            <w:vAlign w:val="center"/>
          </w:tcPr>
          <w:p>
            <w:pPr>
              <w:widowControl/>
              <w:rPr>
                <w:rFonts w:hint="eastAsia" w:ascii="仿宋" w:hAnsi="仿宋" w:eastAsia="仿宋" w:cs="宋体"/>
                <w:kern w:val="0"/>
                <w:sz w:val="18"/>
                <w:szCs w:val="18"/>
              </w:rPr>
            </w:pPr>
            <w:r>
              <w:rPr>
                <w:rFonts w:hint="eastAsia" w:ascii="仿宋" w:hAnsi="仿宋" w:eastAsia="仿宋" w:cs="宋体"/>
                <w:kern w:val="0"/>
                <w:sz w:val="18"/>
                <w:szCs w:val="18"/>
              </w:rPr>
              <w:t>1、方案内容进行了详细的阐述，贴合项目实际情况；为本项目配备的人员充足、配置合理，项目负责人熟悉本项目所涉险种、经验丰富、业务能力强，完全满足项目需求，得11-15分；</w:t>
            </w:r>
          </w:p>
          <w:p>
            <w:pPr>
              <w:widowControl/>
              <w:rPr>
                <w:rFonts w:hint="eastAsia" w:ascii="仿宋" w:hAnsi="仿宋" w:eastAsia="仿宋" w:cs="宋体"/>
                <w:kern w:val="0"/>
                <w:sz w:val="18"/>
                <w:szCs w:val="18"/>
              </w:rPr>
            </w:pPr>
            <w:r>
              <w:rPr>
                <w:rFonts w:hint="eastAsia" w:ascii="仿宋" w:hAnsi="仿宋" w:eastAsia="仿宋" w:cs="宋体"/>
                <w:kern w:val="0"/>
                <w:sz w:val="18"/>
                <w:szCs w:val="18"/>
              </w:rPr>
              <w:t>2、方案内容虽进行阐述，但配备的人员并未紧密贴合项目实际需求，得6-10分；</w:t>
            </w:r>
          </w:p>
          <w:p>
            <w:pPr>
              <w:widowControl/>
              <w:rPr>
                <w:rFonts w:hint="eastAsia" w:ascii="仿宋" w:hAnsi="仿宋" w:eastAsia="仿宋" w:cs="宋体"/>
                <w:kern w:val="0"/>
                <w:sz w:val="18"/>
                <w:szCs w:val="18"/>
              </w:rPr>
            </w:pPr>
            <w:r>
              <w:rPr>
                <w:rFonts w:hint="eastAsia" w:ascii="仿宋" w:hAnsi="仿宋" w:eastAsia="仿宋" w:cs="宋体"/>
                <w:kern w:val="0"/>
                <w:sz w:val="18"/>
                <w:szCs w:val="18"/>
              </w:rPr>
              <w:t>3、方案内容虽进行阐述但为本项目配备的人员不充足，配置不合理，距项目需求差距较大，得1-5分；</w:t>
            </w:r>
          </w:p>
          <w:p>
            <w:pPr>
              <w:widowControl/>
              <w:rPr>
                <w:rFonts w:hint="eastAsia" w:ascii="仿宋" w:hAnsi="仿宋" w:eastAsia="仿宋" w:cs="宋体"/>
                <w:kern w:val="0"/>
                <w:sz w:val="18"/>
                <w:szCs w:val="18"/>
              </w:rPr>
            </w:pPr>
            <w:r>
              <w:rPr>
                <w:rFonts w:hint="eastAsia" w:ascii="仿宋" w:hAnsi="仿宋" w:eastAsia="仿宋" w:cs="宋体"/>
                <w:kern w:val="0"/>
                <w:sz w:val="18"/>
                <w:szCs w:val="18"/>
              </w:rPr>
              <w:t>4、方案内容未进行任何阐述或不满足项目需</w:t>
            </w:r>
            <w:bookmarkStart w:id="0" w:name="_GoBack"/>
            <w:bookmarkEnd w:id="0"/>
            <w:r>
              <w:rPr>
                <w:rFonts w:hint="eastAsia" w:ascii="仿宋" w:hAnsi="仿宋" w:eastAsia="仿宋" w:cs="宋体"/>
                <w:kern w:val="0"/>
                <w:sz w:val="18"/>
                <w:szCs w:val="18"/>
              </w:rPr>
              <w:t>求，得 0 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15</w:t>
            </w:r>
          </w:p>
        </w:tc>
      </w:tr>
      <w:tr>
        <w:tblPrEx>
          <w:tblCellMar>
            <w:top w:w="0" w:type="dxa"/>
            <w:left w:w="108" w:type="dxa"/>
            <w:bottom w:w="0" w:type="dxa"/>
            <w:right w:w="108" w:type="dxa"/>
          </w:tblCellMar>
        </w:tblPrEx>
        <w:trPr>
          <w:trHeight w:val="810" w:hRule="atLeast"/>
        </w:trPr>
        <w:tc>
          <w:tcPr>
            <w:tcW w:w="100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宋体"/>
                <w:kern w:val="0"/>
                <w:sz w:val="18"/>
                <w:szCs w:val="18"/>
              </w:rPr>
            </w:pP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质量保证措施</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对项目管理、售后管理、质量保证制度和承诺进行阐述，有具体方案及措施描述，完全贴合项目需求得11-15分；</w:t>
            </w:r>
          </w:p>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对项目管理、售后管理、质量保证制度和承诺进行阐述，贴合项目需求，但缺少具体方案及措施描述得6-10分；</w:t>
            </w:r>
          </w:p>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对项目管理、售后管理、质量保证制度和承诺，部分贴合项目需求，得1-5 分；</w:t>
            </w:r>
          </w:p>
          <w:p>
            <w:pPr>
              <w:widowControl/>
              <w:jc w:val="left"/>
              <w:rPr>
                <w:rFonts w:hint="eastAsia" w:ascii="仿宋" w:hAnsi="仿宋" w:eastAsia="仿宋" w:cs="宋体"/>
                <w:color w:val="000000"/>
                <w:kern w:val="0"/>
                <w:sz w:val="18"/>
                <w:szCs w:val="18"/>
              </w:rPr>
            </w:pPr>
            <w:r>
              <w:rPr>
                <w:rFonts w:hint="eastAsia" w:ascii="仿宋" w:hAnsi="仿宋" w:eastAsia="仿宋" w:cs="宋体"/>
                <w:color w:val="000000"/>
                <w:kern w:val="0"/>
                <w:sz w:val="18"/>
                <w:szCs w:val="18"/>
              </w:rPr>
              <w:t>未提供得0分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15</w:t>
            </w:r>
          </w:p>
        </w:tc>
      </w:tr>
      <w:tr>
        <w:tblPrEx>
          <w:tblCellMar>
            <w:top w:w="0" w:type="dxa"/>
            <w:left w:w="108" w:type="dxa"/>
            <w:bottom w:w="0" w:type="dxa"/>
            <w:right w:w="108" w:type="dxa"/>
          </w:tblCellMar>
        </w:tblPrEx>
        <w:trPr>
          <w:trHeight w:val="900" w:hRule="atLeast"/>
        </w:trPr>
        <w:tc>
          <w:tcPr>
            <w:tcW w:w="1003"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宋体"/>
                <w:kern w:val="0"/>
                <w:sz w:val="18"/>
                <w:szCs w:val="18"/>
              </w:rPr>
            </w:pPr>
          </w:p>
        </w:tc>
        <w:tc>
          <w:tcPr>
            <w:tcW w:w="1344"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服务承诺</w:t>
            </w:r>
          </w:p>
        </w:tc>
        <w:tc>
          <w:tcPr>
            <w:tcW w:w="4798" w:type="dxa"/>
            <w:tcBorders>
              <w:top w:val="nil"/>
              <w:left w:val="nil"/>
              <w:bottom w:val="single" w:color="auto" w:sz="4" w:space="0"/>
              <w:right w:val="single" w:color="auto" w:sz="4" w:space="0"/>
            </w:tcBorders>
            <w:vAlign w:val="center"/>
          </w:tcPr>
          <w:p>
            <w:pPr>
              <w:widowControl/>
              <w:jc w:val="left"/>
              <w:rPr>
                <w:rFonts w:hint="eastAsia" w:ascii="仿宋" w:hAnsi="仿宋" w:eastAsia="仿宋"/>
                <w:kern w:val="0"/>
                <w:sz w:val="18"/>
                <w:szCs w:val="18"/>
              </w:rPr>
            </w:pPr>
            <w:r>
              <w:rPr>
                <w:rFonts w:hint="eastAsia" w:ascii="仿宋" w:hAnsi="仿宋" w:eastAsia="仿宋"/>
                <w:kern w:val="0"/>
                <w:sz w:val="18"/>
                <w:szCs w:val="18"/>
              </w:rPr>
              <w:t>供应商须提供沟通机制，内容包括①服务人员安排②沟通方案，要求有专人定期沟通，配合。优秀的，得</w:t>
            </w:r>
            <w:r>
              <w:rPr>
                <w:rFonts w:ascii="仿宋" w:hAnsi="仿宋" w:eastAsia="仿宋"/>
                <w:kern w:val="0"/>
                <w:sz w:val="18"/>
                <w:szCs w:val="18"/>
              </w:rPr>
              <w:t>7-10</w:t>
            </w:r>
            <w:r>
              <w:rPr>
                <w:rFonts w:hint="eastAsia" w:ascii="仿宋" w:hAnsi="仿宋" w:eastAsia="仿宋"/>
                <w:kern w:val="0"/>
                <w:sz w:val="18"/>
                <w:szCs w:val="18"/>
              </w:rPr>
              <w:t>分；良好的，得</w:t>
            </w:r>
            <w:r>
              <w:rPr>
                <w:rFonts w:ascii="仿宋" w:hAnsi="仿宋" w:eastAsia="仿宋"/>
                <w:kern w:val="0"/>
                <w:sz w:val="18"/>
                <w:szCs w:val="18"/>
              </w:rPr>
              <w:t>4-6</w:t>
            </w:r>
            <w:r>
              <w:rPr>
                <w:rFonts w:hint="eastAsia" w:ascii="仿宋" w:hAnsi="仿宋" w:eastAsia="仿宋"/>
                <w:kern w:val="0"/>
                <w:sz w:val="18"/>
                <w:szCs w:val="18"/>
              </w:rPr>
              <w:t>分；一般的，得</w:t>
            </w:r>
            <w:r>
              <w:rPr>
                <w:rFonts w:ascii="仿宋" w:hAnsi="仿宋" w:eastAsia="仿宋"/>
                <w:kern w:val="0"/>
                <w:sz w:val="18"/>
                <w:szCs w:val="18"/>
              </w:rPr>
              <w:t>1-3</w:t>
            </w:r>
            <w:r>
              <w:rPr>
                <w:rFonts w:hint="eastAsia" w:ascii="仿宋" w:hAnsi="仿宋" w:eastAsia="仿宋"/>
                <w:kern w:val="0"/>
                <w:sz w:val="18"/>
                <w:szCs w:val="18"/>
              </w:rPr>
              <w:t>分；较差的，得</w:t>
            </w:r>
            <w:r>
              <w:rPr>
                <w:rFonts w:ascii="仿宋" w:hAnsi="仿宋" w:eastAsia="仿宋"/>
                <w:kern w:val="0"/>
                <w:sz w:val="18"/>
                <w:szCs w:val="18"/>
              </w:rPr>
              <w:t>0</w:t>
            </w:r>
            <w:r>
              <w:rPr>
                <w:rFonts w:hint="eastAsia" w:ascii="仿宋" w:hAnsi="仿宋" w:eastAsia="仿宋"/>
                <w:kern w:val="0"/>
                <w:sz w:val="18"/>
                <w:szCs w:val="18"/>
              </w:rPr>
              <w:t>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10</w:t>
            </w:r>
          </w:p>
        </w:tc>
      </w:tr>
      <w:tr>
        <w:tblPrEx>
          <w:tblCellMar>
            <w:top w:w="0" w:type="dxa"/>
            <w:left w:w="108" w:type="dxa"/>
            <w:bottom w:w="0" w:type="dxa"/>
            <w:right w:w="108" w:type="dxa"/>
          </w:tblCellMar>
        </w:tblPrEx>
        <w:trPr>
          <w:trHeight w:val="510" w:hRule="atLeast"/>
        </w:trPr>
        <w:tc>
          <w:tcPr>
            <w:tcW w:w="7145"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总分</w:t>
            </w:r>
          </w:p>
        </w:tc>
        <w:tc>
          <w:tcPr>
            <w:tcW w:w="1383" w:type="dxa"/>
            <w:tcBorders>
              <w:top w:val="nil"/>
              <w:left w:val="nil"/>
              <w:bottom w:val="single" w:color="auto" w:sz="4" w:space="0"/>
              <w:right w:val="single" w:color="auto" w:sz="4" w:space="0"/>
            </w:tcBorders>
            <w:vAlign w:val="center"/>
          </w:tcPr>
          <w:p>
            <w:pPr>
              <w:widowControl/>
              <w:jc w:val="center"/>
              <w:rPr>
                <w:rFonts w:hint="eastAsia" w:ascii="仿宋" w:hAnsi="仿宋" w:eastAsia="仿宋" w:cs="宋体"/>
                <w:kern w:val="0"/>
                <w:sz w:val="18"/>
                <w:szCs w:val="18"/>
              </w:rPr>
            </w:pPr>
            <w:r>
              <w:rPr>
                <w:rFonts w:hint="eastAsia" w:ascii="仿宋" w:hAnsi="仿宋" w:eastAsia="仿宋" w:cs="宋体"/>
                <w:kern w:val="0"/>
                <w:sz w:val="18"/>
                <w:szCs w:val="18"/>
              </w:rPr>
              <w:t>100</w:t>
            </w:r>
          </w:p>
        </w:tc>
      </w:tr>
    </w:tbl>
    <w:p>
      <w:pPr>
        <w:spacing w:line="360" w:lineRule="auto"/>
        <w:rPr>
          <w:rFonts w:hint="eastAsia" w:ascii="仿宋" w:hAnsi="仿宋" w:eastAsia="仿宋" w:cs="宋体"/>
          <w:bCs/>
          <w:sz w:val="28"/>
          <w:szCs w:val="28"/>
        </w:rPr>
      </w:pPr>
    </w:p>
    <w:p>
      <w:pPr>
        <w:widowControl/>
        <w:jc w:val="left"/>
        <w:rPr>
          <w:rFonts w:hint="eastAsia" w:ascii="仿宋" w:hAnsi="仿宋" w:eastAsia="仿宋" w:cs="宋体"/>
          <w:bCs/>
          <w:sz w:val="28"/>
          <w:szCs w:val="28"/>
        </w:rPr>
      </w:pPr>
    </w:p>
    <w:p>
      <w:pPr>
        <w:spacing w:line="360" w:lineRule="auto"/>
        <w:jc w:val="center"/>
        <w:rPr>
          <w:rFonts w:hint="eastAsia" w:ascii="仿宋" w:hAnsi="仿宋" w:eastAsia="仿宋" w:cs="宋体"/>
          <w:b/>
          <w:bCs/>
          <w:sz w:val="32"/>
          <w:szCs w:val="28"/>
        </w:rPr>
      </w:pPr>
    </w:p>
    <w:sectPr>
      <w:pgSz w:w="11906" w:h="16838"/>
      <w:pgMar w:top="1440" w:right="1797" w:bottom="1440" w:left="179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00000000" w:usb1="00000000" w:usb2="00000009" w:usb3="00000000" w:csb0="000001FF"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jY5ODU0NjQ5ZjQ0NWEwM2Y5NDA5NmM4Y2MzMWMxZTYifQ=="/>
  </w:docVars>
  <w:rsids>
    <w:rsidRoot w:val="0099485C"/>
    <w:rsid w:val="000A22BF"/>
    <w:rsid w:val="00193EAA"/>
    <w:rsid w:val="002813AC"/>
    <w:rsid w:val="00296944"/>
    <w:rsid w:val="002D2684"/>
    <w:rsid w:val="00324132"/>
    <w:rsid w:val="00370B46"/>
    <w:rsid w:val="003B2C36"/>
    <w:rsid w:val="003D1C53"/>
    <w:rsid w:val="003E70D5"/>
    <w:rsid w:val="004D73E0"/>
    <w:rsid w:val="004F644E"/>
    <w:rsid w:val="00504DC9"/>
    <w:rsid w:val="00515BAC"/>
    <w:rsid w:val="006337E9"/>
    <w:rsid w:val="006F7B9A"/>
    <w:rsid w:val="0072607C"/>
    <w:rsid w:val="007A7660"/>
    <w:rsid w:val="008A2C42"/>
    <w:rsid w:val="0099485C"/>
    <w:rsid w:val="00B25D4A"/>
    <w:rsid w:val="00B33D64"/>
    <w:rsid w:val="00B927D3"/>
    <w:rsid w:val="00BA4C9E"/>
    <w:rsid w:val="00CA49E3"/>
    <w:rsid w:val="00D875C2"/>
    <w:rsid w:val="00DB1122"/>
    <w:rsid w:val="00FF1677"/>
    <w:rsid w:val="0185358B"/>
    <w:rsid w:val="10863564"/>
    <w:rsid w:val="125529FD"/>
    <w:rsid w:val="1AE811C6"/>
    <w:rsid w:val="28BA4A28"/>
    <w:rsid w:val="2A021EEC"/>
    <w:rsid w:val="3757749D"/>
    <w:rsid w:val="473506D4"/>
    <w:rsid w:val="68A51AEC"/>
    <w:rsid w:val="6D692B34"/>
    <w:rsid w:val="77E656A1"/>
    <w:rsid w:val="7834054B"/>
    <w:rsid w:val="7FC7B2C9"/>
    <w:rsid w:val="DFBA1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qFormat="1" w:uiPriority="0"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Body Text Indent"/>
    <w:basedOn w:val="1"/>
    <w:unhideWhenUsed/>
    <w:qFormat/>
    <w:uiPriority w:val="99"/>
    <w:pPr>
      <w:spacing w:after="120"/>
      <w:ind w:left="420" w:leftChars="200"/>
    </w:pPr>
  </w:style>
  <w:style w:type="paragraph" w:styleId="4">
    <w:name w:val="Balloon Text"/>
    <w:basedOn w:val="1"/>
    <w:link w:val="20"/>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envelope return"/>
    <w:basedOn w:val="1"/>
    <w:unhideWhenUsed/>
    <w:qFormat/>
    <w:uiPriority w:val="0"/>
    <w:pPr>
      <w:snapToGrid w:val="0"/>
    </w:pPr>
    <w:rPr>
      <w:rFonts w:ascii="Arial" w:hAnsi="Arial"/>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9"/>
    <w:unhideWhenUsed/>
    <w:qFormat/>
    <w:uiPriority w:val="99"/>
    <w:rPr>
      <w:b/>
      <w:bCs/>
    </w:rPr>
  </w:style>
  <w:style w:type="paragraph" w:styleId="9">
    <w:name w:val="Body Text First Indent 2"/>
    <w:basedOn w:val="3"/>
    <w:next w:val="1"/>
    <w:qFormat/>
    <w:uiPriority w:val="0"/>
    <w:pPr>
      <w:ind w:firstLine="420" w:firstLineChars="200"/>
    </w:pPr>
  </w:style>
  <w:style w:type="character" w:styleId="12">
    <w:name w:val="annotation reference"/>
    <w:basedOn w:val="11"/>
    <w:unhideWhenUsed/>
    <w:qFormat/>
    <w:uiPriority w:val="99"/>
    <w:rPr>
      <w:sz w:val="21"/>
      <w:szCs w:val="21"/>
    </w:rPr>
  </w:style>
  <w:style w:type="paragraph" w:customStyle="1" w:styleId="13">
    <w:name w:val="列表段落1"/>
    <w:basedOn w:val="1"/>
    <w:link w:val="17"/>
    <w:qFormat/>
    <w:uiPriority w:val="34"/>
    <w:pPr>
      <w:ind w:firstLine="420" w:firstLineChars="200"/>
    </w:pPr>
  </w:style>
  <w:style w:type="paragraph" w:customStyle="1" w:styleId="14">
    <w:name w:val="正文表格"/>
    <w:basedOn w:val="1"/>
    <w:qFormat/>
    <w:uiPriority w:val="0"/>
    <w:pPr>
      <w:adjustRightInd w:val="0"/>
      <w:snapToGrid w:val="0"/>
      <w:jc w:val="left"/>
    </w:pPr>
    <w:rPr>
      <w:rFonts w:ascii="宋体" w:hAnsi="宋体"/>
      <w:color w:val="000000"/>
      <w:szCs w:val="21"/>
    </w:rPr>
  </w:style>
  <w:style w:type="character" w:customStyle="1" w:styleId="15">
    <w:name w:val="页眉 字符"/>
    <w:basedOn w:val="11"/>
    <w:link w:val="7"/>
    <w:qFormat/>
    <w:uiPriority w:val="99"/>
    <w:rPr>
      <w:sz w:val="18"/>
      <w:szCs w:val="18"/>
    </w:rPr>
  </w:style>
  <w:style w:type="character" w:customStyle="1" w:styleId="16">
    <w:name w:val="页脚 字符"/>
    <w:basedOn w:val="11"/>
    <w:link w:val="5"/>
    <w:qFormat/>
    <w:uiPriority w:val="99"/>
    <w:rPr>
      <w:sz w:val="18"/>
      <w:szCs w:val="18"/>
    </w:rPr>
  </w:style>
  <w:style w:type="character" w:customStyle="1" w:styleId="17">
    <w:name w:val="列出段落 Char"/>
    <w:link w:val="13"/>
    <w:qFormat/>
    <w:uiPriority w:val="34"/>
    <w:rPr>
      <w:rFonts w:ascii="Calibri" w:hAnsi="Calibri"/>
    </w:rPr>
  </w:style>
  <w:style w:type="character" w:customStyle="1" w:styleId="18">
    <w:name w:val="批注文字 字符"/>
    <w:basedOn w:val="11"/>
    <w:link w:val="2"/>
    <w:semiHidden/>
    <w:qFormat/>
    <w:uiPriority w:val="99"/>
  </w:style>
  <w:style w:type="character" w:customStyle="1" w:styleId="19">
    <w:name w:val="批注主题 字符"/>
    <w:basedOn w:val="18"/>
    <w:link w:val="8"/>
    <w:semiHidden/>
    <w:qFormat/>
    <w:uiPriority w:val="99"/>
    <w:rPr>
      <w:b/>
      <w:bCs/>
    </w:rPr>
  </w:style>
  <w:style w:type="character" w:customStyle="1" w:styleId="20">
    <w:name w:val="批注框文本 字符"/>
    <w:basedOn w:val="11"/>
    <w:link w:val="4"/>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968</Words>
  <Characters>988</Characters>
  <Lines>70</Lines>
  <Paragraphs>65</Paragraphs>
  <TotalTime>44</TotalTime>
  <ScaleCrop>false</ScaleCrop>
  <LinksUpToDate>false</LinksUpToDate>
  <CharactersWithSpaces>1891</CharactersWithSpaces>
  <Application>WPS Office_11.8.2.10587_F1E327BC-269C-435d-A152-05C5408002CA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2022-04-19T12:00:00Z</dcterms:created>
  <dc:creator>强文晓</dc:creator>
  <cp:lastModifiedBy>admin</cp:lastModifiedBy>
  <dcterms:modified xsi:type="dcterms:W3CDTF">2026-09-17T15:53:48Z</dcterms:modified>
  <dc:title>申请人须知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2052-11.8.2.10587</vt:lpwstr>
  </property>
  <property fmtid="{D5CDD505-2E9C-101B-9397-08002B2CF9AE}" pid="3" name="ICV">
    <vt:lpwstr>E9DF036E6E8A4B939C7F8AAFD271A14B_12</vt:lpwstr>
  </property>
  <property fmtid="{D5CDD505-2E9C-101B-9397-08002B2CF9AE}" pid="4" name="KSOTemplateDocerSaveRecord">
    <vt:lpwstr>eyJoZGlkIjoiMDEwNDJlNjQ1ZjlhMWNlM2VmYmRmNDNmYzM3NWY1MDAiLCJ1c2VySWQiOiIyNjEzMzI3NzAifQ==</vt:lpwstr>
  </property>
</Properties>
</file>