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申请人须知</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1、遴选响应文件签署和盖章要求：遴选响应文件需打印或用不退色墨水书写，由申请人的法定代表人或其授权代表在遴选文件规定的地方签字，并进行逐页盖章或加盖骑缝章。</w:t>
      </w:r>
    </w:p>
    <w:p>
      <w:pPr>
        <w:spacing w:line="360" w:lineRule="auto"/>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Cs/>
          <w:sz w:val="32"/>
          <w:szCs w:val="32"/>
        </w:rPr>
        <w:t>2、遴选小组对申请人的遴选响应文件进行商务审查，以确定其是否满足遴选文件的实质性要求，并形成商务审查结果。申请人有任何一项不符合《商务审查表》要求的，</w:t>
      </w:r>
      <w:r>
        <w:rPr>
          <w:rFonts w:hint="eastAsia" w:ascii="仿宋_GB2312" w:hAnsi="仿宋_GB2312" w:eastAsia="仿宋_GB2312" w:cs="仿宋_GB2312"/>
          <w:b/>
          <w:bCs/>
          <w:sz w:val="32"/>
          <w:szCs w:val="32"/>
        </w:rPr>
        <w:t>遴选响应无效。</w:t>
      </w:r>
    </w:p>
    <w:p>
      <w:pPr>
        <w:spacing w:line="360" w:lineRule="auto"/>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商务审查表</w:t>
      </w:r>
    </w:p>
    <w:tbl>
      <w:tblPr>
        <w:tblStyle w:val="7"/>
        <w:tblW w:w="8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02"/>
        <w:gridCol w:w="4042"/>
        <w:gridCol w:w="33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102"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序号</w:t>
            </w:r>
          </w:p>
        </w:tc>
        <w:tc>
          <w:tcPr>
            <w:tcW w:w="7426"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审查内容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p>
        </w:tc>
        <w:tc>
          <w:tcPr>
            <w:tcW w:w="7426" w:type="dxa"/>
            <w:gridSpan w:val="2"/>
            <w:tcBorders>
              <w:top w:val="nil"/>
              <w:left w:val="single" w:color="000000" w:sz="4" w:space="0"/>
              <w:bottom w:val="single" w:color="000000" w:sz="4" w:space="0"/>
              <w:right w:val="single" w:color="auto" w:sz="4" w:space="0"/>
            </w:tcBorders>
            <w:vAlign w:val="center"/>
          </w:tcPr>
          <w:p>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遴选报价是否超过遴选文件规定预算金额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p>
        </w:tc>
        <w:tc>
          <w:tcPr>
            <w:tcW w:w="7426" w:type="dxa"/>
            <w:gridSpan w:val="2"/>
            <w:tcBorders>
              <w:top w:val="nil"/>
              <w:left w:val="single" w:color="000000" w:sz="4" w:space="0"/>
              <w:bottom w:val="single" w:color="000000" w:sz="4" w:space="0"/>
              <w:right w:val="single" w:color="auto" w:sz="4" w:space="0"/>
            </w:tcBorders>
            <w:vAlign w:val="center"/>
          </w:tcPr>
          <w:p>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遴选文件的签署、盖章是否合格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w:t>
            </w:r>
          </w:p>
        </w:tc>
        <w:tc>
          <w:tcPr>
            <w:tcW w:w="7426" w:type="dxa"/>
            <w:gridSpan w:val="2"/>
            <w:tcBorders>
              <w:top w:val="nil"/>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是否提供满足遴选文件中要求的申请人资格要求的承诺函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5144" w:type="dxa"/>
            <w:gridSpan w:val="2"/>
            <w:tcBorders>
              <w:top w:val="single" w:color="auto" w:sz="4" w:space="0"/>
              <w:left w:val="single" w:color="auto" w:sz="4" w:space="0"/>
              <w:bottom w:val="single" w:color="auto" w:sz="4" w:space="0"/>
              <w:right w:val="nil"/>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结论</w:t>
            </w:r>
          </w:p>
        </w:tc>
        <w:tc>
          <w:tcPr>
            <w:tcW w:w="3384"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合格/不合格</w:t>
            </w:r>
          </w:p>
        </w:tc>
      </w:tr>
    </w:tbl>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遴选响应文件有关事项的澄清或者说明：评审过程中，遴选小组会将以书面形式要求申请人对其遴选响应文件中含义不明确、同类问题表述不一致或者有明显文字和计算错误的内容，作出必要的澄清、说明或者补正。申请人的澄清、说明或者补正应当采用书面形式，并加盖公章，或者由法定代表人或其授权的代表签字。申请人的澄清、说明或者补正不得超出遴选文件的范围或者改变遴选文件的实质性内容。澄清文件将作为遴选文件内容的一部分。</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本项目采用的评标方法为综合评分法。采用综合评分法时，评审结果按评审后得分由高到低顺序排列。得分相同的，按遴选响应报价由低到高顺序排列。得分且遴选响应报价相同的并列。遴选响应文件满足遴选文件全部实质性要求，且按照评审因素的量化指标评审得分最高的申请人为排名第一的成交候选人。由各业务处室最终决定成交申请人。评分分值计算保留小数点后两位，第三位四舍五入。</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5、成交供应商拒绝与采购人签订合同的，采购人可以按照评审报告推荐的成交候选人名单排序，确定下一候选人为成交供应商，也可以重新开展政府采购活动。</w:t>
      </w:r>
    </w:p>
    <w:p>
      <w:pPr>
        <w:widowControl/>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br w:type="page"/>
      </w:r>
    </w:p>
    <w:p>
      <w:pPr>
        <w:spacing w:line="360" w:lineRule="auto"/>
        <w:jc w:val="center"/>
        <w:rPr>
          <w:rFonts w:ascii="仿宋" w:hAnsi="仿宋" w:eastAsia="仿宋" w:cs="宋体"/>
          <w:b/>
          <w:bCs/>
          <w:sz w:val="32"/>
          <w:szCs w:val="28"/>
        </w:rPr>
      </w:pPr>
      <w:r>
        <w:rPr>
          <w:rFonts w:ascii="仿宋" w:hAnsi="仿宋" w:eastAsia="仿宋" w:cs="宋体"/>
          <w:b/>
          <w:bCs/>
          <w:sz w:val="32"/>
          <w:szCs w:val="28"/>
        </w:rPr>
        <w:t>评分标准</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111"/>
        <w:gridCol w:w="6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178"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outlineLvl w:val="9"/>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lang w:eastAsia="zh-CN"/>
              </w:rPr>
              <w:t>评审因素</w:t>
            </w:r>
          </w:p>
        </w:tc>
        <w:tc>
          <w:tcPr>
            <w:tcW w:w="6331"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outlineLvl w:val="9"/>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06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outlineLvl w:val="9"/>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商务部分</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30分</w:t>
            </w:r>
            <w:r>
              <w:rPr>
                <w:rFonts w:hint="eastAsia" w:ascii="仿宋_GB2312" w:hAnsi="仿宋_GB2312" w:eastAsia="仿宋_GB2312" w:cs="仿宋_GB2312"/>
                <w:sz w:val="21"/>
                <w:szCs w:val="21"/>
                <w:lang w:eastAsia="zh-CN"/>
              </w:rPr>
              <w:t>）</w:t>
            </w:r>
          </w:p>
        </w:tc>
        <w:tc>
          <w:tcPr>
            <w:tcW w:w="1111" w:type="dxa"/>
            <w:vMerge w:val="restart"/>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供应商基本情况</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（5分）</w:t>
            </w:r>
          </w:p>
        </w:tc>
        <w:tc>
          <w:tcPr>
            <w:tcW w:w="6331" w:type="dxa"/>
            <w:noWrap w:val="0"/>
            <w:vAlign w:val="center"/>
          </w:tcPr>
          <w:p>
            <w:pPr>
              <w:widowControl/>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供应商资</w:t>
            </w:r>
            <w:r>
              <w:rPr>
                <w:rFonts w:hint="eastAsia" w:ascii="仿宋_GB2312" w:hAnsi="仿宋_GB2312" w:eastAsia="仿宋_GB2312" w:cs="仿宋_GB2312"/>
                <w:sz w:val="21"/>
                <w:szCs w:val="21"/>
                <w:lang w:eastAsia="zh-CN"/>
              </w:rPr>
              <w:t>质</w:t>
            </w:r>
            <w:r>
              <w:rPr>
                <w:rFonts w:hint="eastAsia" w:ascii="仿宋_GB2312" w:hAnsi="仿宋_GB2312" w:eastAsia="仿宋_GB2312" w:cs="仿宋_GB2312"/>
                <w:sz w:val="21"/>
                <w:szCs w:val="21"/>
              </w:rPr>
              <w:t>情况良好（</w:t>
            </w:r>
            <w:r>
              <w:rPr>
                <w:rFonts w:hint="eastAsia" w:ascii="仿宋_GB2312" w:hAnsi="仿宋_GB2312" w:eastAsia="仿宋_GB2312" w:cs="仿宋_GB2312"/>
                <w:sz w:val="21"/>
                <w:szCs w:val="21"/>
                <w:lang w:eastAsia="zh-CN"/>
              </w:rPr>
              <w:t>承担专业资质</w:t>
            </w:r>
            <w:r>
              <w:rPr>
                <w:rFonts w:hint="eastAsia" w:ascii="仿宋_GB2312" w:hAnsi="仿宋_GB2312" w:eastAsia="仿宋_GB2312" w:cs="仿宋_GB2312"/>
                <w:sz w:val="21"/>
                <w:szCs w:val="21"/>
              </w:rPr>
              <w:t>等）2分。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p>
        </w:tc>
        <w:tc>
          <w:tcPr>
            <w:tcW w:w="1111" w:type="dxa"/>
            <w:vMerge w:val="continue"/>
            <w:noWrap w:val="0"/>
            <w:vAlign w:val="center"/>
          </w:tcPr>
          <w:p>
            <w:pPr>
              <w:widowControl/>
              <w:spacing w:line="300" w:lineRule="exact"/>
              <w:jc w:val="center"/>
              <w:rPr>
                <w:rFonts w:hint="eastAsia" w:ascii="仿宋_GB2312" w:hAnsi="仿宋_GB2312" w:eastAsia="仿宋_GB2312" w:cs="仿宋_GB2312"/>
                <w:sz w:val="21"/>
                <w:szCs w:val="21"/>
                <w:vertAlign w:val="baseline"/>
              </w:rPr>
            </w:pPr>
          </w:p>
        </w:tc>
        <w:tc>
          <w:tcPr>
            <w:tcW w:w="6331" w:type="dxa"/>
            <w:noWrap w:val="0"/>
            <w:vAlign w:val="center"/>
          </w:tcPr>
          <w:p>
            <w:pPr>
              <w:widowControl/>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熟悉</w:t>
            </w:r>
            <w:r>
              <w:rPr>
                <w:rFonts w:hint="eastAsia" w:ascii="仿宋_GB2312" w:hAnsi="仿宋_GB2312" w:eastAsia="仿宋_GB2312" w:cs="仿宋_GB2312"/>
                <w:sz w:val="21"/>
                <w:szCs w:val="21"/>
                <w:lang w:eastAsia="zh-CN"/>
              </w:rPr>
              <w:t>艾滋病防治领域，有重点人群</w:t>
            </w:r>
            <w:r>
              <w:rPr>
                <w:rFonts w:hint="default" w:ascii="仿宋_GB2312" w:hAnsi="仿宋_GB2312" w:eastAsia="仿宋_GB2312" w:cs="仿宋_GB2312"/>
                <w:sz w:val="21"/>
                <w:szCs w:val="21"/>
                <w:lang w:val="en-US" w:eastAsia="zh-CN"/>
              </w:rPr>
              <w:t>线上综合</w:t>
            </w:r>
            <w:r>
              <w:rPr>
                <w:rFonts w:hint="eastAsia" w:ascii="仿宋_GB2312" w:hAnsi="仿宋_GB2312" w:eastAsia="仿宋_GB2312" w:cs="仿宋_GB2312"/>
                <w:sz w:val="21"/>
                <w:szCs w:val="21"/>
                <w:lang w:eastAsia="zh-CN"/>
              </w:rPr>
              <w:t>宣传干预相关</w:t>
            </w:r>
            <w:r>
              <w:rPr>
                <w:rFonts w:hint="eastAsia" w:ascii="仿宋_GB2312" w:hAnsi="仿宋_GB2312" w:eastAsia="仿宋_GB2312" w:cs="仿宋_GB2312"/>
                <w:sz w:val="21"/>
                <w:szCs w:val="21"/>
              </w:rPr>
              <w:t>工作</w:t>
            </w:r>
            <w:r>
              <w:rPr>
                <w:rFonts w:hint="eastAsia" w:ascii="仿宋_GB2312" w:hAnsi="仿宋_GB2312" w:eastAsia="仿宋_GB2312" w:cs="仿宋_GB2312"/>
                <w:sz w:val="21"/>
                <w:szCs w:val="21"/>
                <w:lang w:eastAsia="zh-CN"/>
              </w:rPr>
              <w:t>经验</w:t>
            </w:r>
            <w:r>
              <w:rPr>
                <w:rFonts w:hint="eastAsia" w:ascii="仿宋_GB2312" w:hAnsi="仿宋_GB2312" w:eastAsia="仿宋_GB2312" w:cs="仿宋_GB2312"/>
                <w:sz w:val="21"/>
                <w:szCs w:val="21"/>
              </w:rPr>
              <w:t>。（横向比较，最优得3分、一般得1分、较差得0分）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p>
        </w:tc>
        <w:tc>
          <w:tcPr>
            <w:tcW w:w="1111" w:type="dxa"/>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供应商的业绩</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（15分）</w:t>
            </w:r>
          </w:p>
        </w:tc>
        <w:tc>
          <w:tcPr>
            <w:tcW w:w="6331" w:type="dxa"/>
            <w:noWrap w:val="0"/>
            <w:vAlign w:val="center"/>
          </w:tcPr>
          <w:p>
            <w:pPr>
              <w:widowControl/>
              <w:spacing w:line="300" w:lineRule="exact"/>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rPr>
              <w:t>供应商近三年（20</w:t>
            </w:r>
            <w:r>
              <w:rPr>
                <w:rFonts w:hint="eastAsia" w:ascii="仿宋_GB2312" w:hAnsi="仿宋_GB2312" w:eastAsia="仿宋_GB2312" w:cs="仿宋_GB2312"/>
                <w:sz w:val="21"/>
                <w:szCs w:val="21"/>
                <w:lang w:val="en-US" w:eastAsia="zh-CN"/>
              </w:rPr>
              <w:t>23</w:t>
            </w:r>
            <w:r>
              <w:rPr>
                <w:rFonts w:hint="eastAsia" w:ascii="仿宋_GB2312" w:hAnsi="仿宋_GB2312" w:eastAsia="仿宋_GB2312" w:cs="仿宋_GB2312"/>
                <w:sz w:val="21"/>
                <w:szCs w:val="21"/>
              </w:rPr>
              <w:t>年1月起至本采购活动遴选公告发布前（以合同签订日期为准））承接过类似服务业绩，每提供1个业绩得5分，最多得</w:t>
            </w:r>
            <w:r>
              <w:rPr>
                <w:rFonts w:hint="eastAsia" w:ascii="仿宋_GB2312" w:hAnsi="仿宋_GB2312" w:eastAsia="仿宋_GB2312" w:cs="仿宋_GB2312"/>
                <w:sz w:val="21"/>
                <w:szCs w:val="21"/>
                <w:lang w:val="en-US" w:eastAsia="zh-CN"/>
              </w:rPr>
              <w:t>15</w:t>
            </w:r>
            <w:r>
              <w:rPr>
                <w:rFonts w:hint="eastAsia" w:ascii="仿宋_GB2312" w:hAnsi="仿宋_GB2312" w:eastAsia="仿宋_GB2312" w:cs="仿宋_GB2312"/>
                <w:sz w:val="21"/>
                <w:szCs w:val="21"/>
              </w:rPr>
              <w:t>分。</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注：需提供业绩合同或协议复印件并加盖公章，如无材料证明或证明材料不完整，上述内容将视为零分。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p>
        </w:tc>
        <w:tc>
          <w:tcPr>
            <w:tcW w:w="1111" w:type="dxa"/>
            <w:vMerge w:val="restart"/>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项目人员配备</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（10分）</w:t>
            </w:r>
          </w:p>
        </w:tc>
        <w:tc>
          <w:tcPr>
            <w:tcW w:w="6331" w:type="dxa"/>
            <w:noWrap w:val="0"/>
            <w:vAlign w:val="center"/>
          </w:tcPr>
          <w:p>
            <w:pPr>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拟投入本项目负责人20</w:t>
            </w:r>
            <w:r>
              <w:rPr>
                <w:rFonts w:hint="eastAsia" w:ascii="仿宋_GB2312" w:hAnsi="仿宋_GB2312" w:eastAsia="仿宋_GB2312" w:cs="仿宋_GB2312"/>
                <w:sz w:val="21"/>
                <w:szCs w:val="21"/>
                <w:lang w:val="en-US" w:eastAsia="zh-CN"/>
              </w:rPr>
              <w:t>23</w:t>
            </w:r>
            <w:bookmarkStart w:id="0" w:name="_GoBack"/>
            <w:bookmarkEnd w:id="0"/>
            <w:r>
              <w:rPr>
                <w:rFonts w:hint="eastAsia" w:ascii="仿宋_GB2312" w:hAnsi="仿宋_GB2312" w:eastAsia="仿宋_GB2312" w:cs="仿宋_GB2312"/>
                <w:sz w:val="21"/>
                <w:szCs w:val="21"/>
              </w:rPr>
              <w:t>年</w:t>
            </w:r>
            <w:r>
              <w:rPr>
                <w:rFonts w:hint="eastAsia" w:ascii="仿宋_GB2312" w:hAnsi="仿宋_GB2312" w:eastAsia="仿宋_GB2312" w:cs="仿宋_GB2312"/>
                <w:sz w:val="21"/>
                <w:szCs w:val="21"/>
                <w:lang w:eastAsia="zh-CN"/>
              </w:rPr>
              <w:t>以来</w:t>
            </w:r>
            <w:r>
              <w:rPr>
                <w:rFonts w:hint="eastAsia" w:ascii="仿宋_GB2312" w:hAnsi="仿宋_GB2312" w:eastAsia="仿宋_GB2312" w:cs="仿宋_GB2312"/>
                <w:sz w:val="21"/>
                <w:szCs w:val="21"/>
              </w:rPr>
              <w:t>承担的</w:t>
            </w:r>
            <w:r>
              <w:rPr>
                <w:rFonts w:hint="eastAsia" w:ascii="仿宋_GB2312" w:hAnsi="仿宋_GB2312" w:eastAsia="仿宋_GB2312" w:cs="仿宋_GB2312"/>
                <w:sz w:val="21"/>
                <w:szCs w:val="21"/>
                <w:lang w:eastAsia="zh-CN"/>
              </w:rPr>
              <w:t>艾滋病防治线上宣传干预等项目</w:t>
            </w:r>
            <w:r>
              <w:rPr>
                <w:rFonts w:hint="eastAsia" w:ascii="仿宋_GB2312" w:hAnsi="仿宋_GB2312" w:eastAsia="仿宋_GB2312" w:cs="仿宋_GB2312"/>
                <w:sz w:val="21"/>
                <w:szCs w:val="21"/>
              </w:rPr>
              <w:t>工作情况。每项业绩得2分，最高得6分（需提供参与该项目的相关证明材料）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p>
        </w:tc>
        <w:tc>
          <w:tcPr>
            <w:tcW w:w="1111" w:type="dxa"/>
            <w:vMerge w:val="continue"/>
            <w:noWrap w:val="0"/>
            <w:vAlign w:val="center"/>
          </w:tcPr>
          <w:p>
            <w:pPr>
              <w:widowControl/>
              <w:spacing w:line="300" w:lineRule="exact"/>
              <w:jc w:val="center"/>
              <w:rPr>
                <w:rFonts w:hint="eastAsia" w:ascii="仿宋_GB2312" w:hAnsi="仿宋_GB2312" w:eastAsia="仿宋_GB2312" w:cs="仿宋_GB2312"/>
                <w:sz w:val="21"/>
                <w:szCs w:val="21"/>
                <w:vertAlign w:val="baseline"/>
              </w:rPr>
            </w:pPr>
          </w:p>
        </w:tc>
        <w:tc>
          <w:tcPr>
            <w:tcW w:w="6331" w:type="dxa"/>
            <w:noWrap w:val="0"/>
            <w:vAlign w:val="center"/>
          </w:tcPr>
          <w:p>
            <w:pPr>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拟投入本项目团队主要成员情况及参与过相关项目的资料，需提供人员名册，必须保证后续参与该项工作。（横向比较，最优得4分、较好得2分、一般得1分、较差得0分）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106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outlineLvl w:val="9"/>
              <w:rPr>
                <w:rFonts w:hint="eastAsia" w:ascii="仿宋_GB2312" w:hAnsi="仿宋_GB2312" w:eastAsia="仿宋_GB2312" w:cs="仿宋_GB2312"/>
                <w:sz w:val="21"/>
                <w:szCs w:val="21"/>
                <w:vertAlign w:val="baseline"/>
              </w:rPr>
            </w:pPr>
            <w:r>
              <w:rPr>
                <w:rFonts w:hint="eastAsia" w:ascii="仿宋_GB2312" w:hAnsi="仿宋_GB2312" w:eastAsia="仿宋_GB2312" w:cs="仿宋_GB2312"/>
                <w:color w:val="000000"/>
                <w:sz w:val="21"/>
                <w:szCs w:val="21"/>
              </w:rPr>
              <w:t>技术部分（60分）</w:t>
            </w:r>
          </w:p>
        </w:tc>
        <w:tc>
          <w:tcPr>
            <w:tcW w:w="1111" w:type="dxa"/>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实施方案内容与工作方法（3</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分）</w:t>
            </w:r>
          </w:p>
        </w:tc>
        <w:tc>
          <w:tcPr>
            <w:tcW w:w="6331" w:type="dxa"/>
            <w:noWrap w:val="0"/>
            <w:vAlign w:val="center"/>
          </w:tcPr>
          <w:p>
            <w:pPr>
              <w:widowControl/>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项目实施方案编制思路清晰、目标明确、条理严谨，实施方案对项目结果的最终实现具有良好的支撑性、衔接性，符合遴选工作任务要求，预期成果及技术路线完备。优秀的，得</w:t>
            </w:r>
            <w:r>
              <w:rPr>
                <w:rFonts w:hint="eastAsia" w:ascii="仿宋_GB2312" w:hAnsi="仿宋_GB2312" w:eastAsia="仿宋_GB2312" w:cs="仿宋_GB2312"/>
                <w:sz w:val="21"/>
                <w:szCs w:val="21"/>
                <w:lang w:val="en-US" w:eastAsia="zh-CN"/>
              </w:rPr>
              <w:t>21-</w:t>
            </w:r>
            <w:r>
              <w:rPr>
                <w:rFonts w:hint="eastAsia" w:ascii="仿宋_GB2312" w:hAnsi="仿宋_GB2312" w:eastAsia="仿宋_GB2312" w:cs="仿宋_GB2312"/>
                <w:sz w:val="21"/>
                <w:szCs w:val="21"/>
              </w:rPr>
              <w:t>3</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分；良好的，得</w:t>
            </w:r>
            <w:r>
              <w:rPr>
                <w:rFonts w:hint="eastAsia" w:ascii="仿宋_GB2312" w:hAnsi="仿宋_GB2312" w:eastAsia="仿宋_GB2312" w:cs="仿宋_GB2312"/>
                <w:sz w:val="21"/>
                <w:szCs w:val="21"/>
                <w:lang w:val="en-US" w:eastAsia="zh-CN"/>
              </w:rPr>
              <w:t>11-</w:t>
            </w:r>
            <w:r>
              <w:rPr>
                <w:rFonts w:hint="eastAsia" w:ascii="仿宋_GB2312" w:hAnsi="仿宋_GB2312" w:eastAsia="仿宋_GB2312" w:cs="仿宋_GB2312"/>
                <w:sz w:val="21"/>
                <w:szCs w:val="21"/>
              </w:rPr>
              <w:t>20分；一般的，得</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10分；较差的，得0分。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color w:val="000000"/>
                <w:sz w:val="21"/>
                <w:szCs w:val="21"/>
              </w:rPr>
            </w:pPr>
          </w:p>
        </w:tc>
        <w:tc>
          <w:tcPr>
            <w:tcW w:w="1111" w:type="dxa"/>
            <w:noWrap w:val="0"/>
            <w:vAlign w:val="center"/>
          </w:tcPr>
          <w:p>
            <w:pPr>
              <w:widowControl/>
              <w:spacing w:line="3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质量保证措施</w:t>
            </w:r>
          </w:p>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（15分）</w:t>
            </w:r>
          </w:p>
        </w:tc>
        <w:tc>
          <w:tcPr>
            <w:tcW w:w="6331" w:type="dxa"/>
            <w:noWrap w:val="0"/>
            <w:vAlign w:val="center"/>
          </w:tcPr>
          <w:p>
            <w:pPr>
              <w:widowControl/>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供应商质量管理体系健全，技术支持有保障，人员安排合理，能够在服务期内高质量完成合同要求。优秀的，得11-15分；良好的，得6-10分；一般的，得1-5分；较差的，得0分。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p>
        </w:tc>
        <w:tc>
          <w:tcPr>
            <w:tcW w:w="1111" w:type="dxa"/>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服务承诺（</w:t>
            </w:r>
            <w:r>
              <w:rPr>
                <w:rFonts w:hint="eastAsia" w:ascii="仿宋_GB2312" w:hAnsi="仿宋_GB2312" w:eastAsia="仿宋_GB2312" w:cs="仿宋_GB2312"/>
                <w:sz w:val="21"/>
                <w:szCs w:val="21"/>
                <w:lang w:val="en-US" w:eastAsia="zh-CN"/>
              </w:rPr>
              <w:t>10</w:t>
            </w:r>
            <w:r>
              <w:rPr>
                <w:rFonts w:hint="eastAsia" w:ascii="仿宋_GB2312" w:hAnsi="仿宋_GB2312" w:eastAsia="仿宋_GB2312" w:cs="仿宋_GB2312"/>
                <w:sz w:val="21"/>
                <w:szCs w:val="21"/>
              </w:rPr>
              <w:t>分）</w:t>
            </w:r>
          </w:p>
        </w:tc>
        <w:tc>
          <w:tcPr>
            <w:tcW w:w="6331" w:type="dxa"/>
            <w:noWrap w:val="0"/>
            <w:vAlign w:val="center"/>
          </w:tcPr>
          <w:p>
            <w:pPr>
              <w:widowControl/>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供应商须提供沟通机制，内容包括①服务人员安排②沟通方案，要求有专人定期沟通，配合。优秀的，得7-10分；良好的，得4-6分；一般的，得1-3分；较差的，得0分。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1067" w:type="dxa"/>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投标报价（10分）</w:t>
            </w:r>
          </w:p>
        </w:tc>
        <w:tc>
          <w:tcPr>
            <w:tcW w:w="744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报价得分=（评审基准价/报价）×价格权值10%×100</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注：实质性响应遴选文件要求且价格最低的报价为评审基准价。</w:t>
            </w:r>
          </w:p>
        </w:tc>
      </w:tr>
    </w:tbl>
    <w:p>
      <w:pPr>
        <w:spacing w:line="360" w:lineRule="auto"/>
        <w:jc w:val="both"/>
        <w:rPr>
          <w:rFonts w:ascii="仿宋" w:hAnsi="仿宋" w:eastAsia="仿宋" w:cs="宋体"/>
          <w:b/>
          <w:bCs/>
          <w:sz w:val="32"/>
          <w:szCs w:val="28"/>
        </w:rPr>
      </w:pPr>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85C"/>
    <w:rsid w:val="000A22BF"/>
    <w:rsid w:val="00193EAA"/>
    <w:rsid w:val="002813AC"/>
    <w:rsid w:val="00296944"/>
    <w:rsid w:val="002D2684"/>
    <w:rsid w:val="003B2C36"/>
    <w:rsid w:val="003D1C53"/>
    <w:rsid w:val="003E70D5"/>
    <w:rsid w:val="004D73E0"/>
    <w:rsid w:val="004F644E"/>
    <w:rsid w:val="00504DC9"/>
    <w:rsid w:val="00515BAC"/>
    <w:rsid w:val="006337E9"/>
    <w:rsid w:val="006F7B9A"/>
    <w:rsid w:val="0072607C"/>
    <w:rsid w:val="007A7660"/>
    <w:rsid w:val="008A2C42"/>
    <w:rsid w:val="0099485C"/>
    <w:rsid w:val="00B33D64"/>
    <w:rsid w:val="00B927D3"/>
    <w:rsid w:val="00BA4C9E"/>
    <w:rsid w:val="00CA49E3"/>
    <w:rsid w:val="00D875C2"/>
    <w:rsid w:val="00DB1122"/>
    <w:rsid w:val="00FF1677"/>
    <w:rsid w:val="0185358B"/>
    <w:rsid w:val="3DE30965"/>
    <w:rsid w:val="43CBE285"/>
    <w:rsid w:val="473506D4"/>
    <w:rsid w:val="4D7FAF96"/>
    <w:rsid w:val="6EF7721D"/>
    <w:rsid w:val="7AFFAF45"/>
    <w:rsid w:val="7CAFFD4A"/>
    <w:rsid w:val="BFEA5C0F"/>
    <w:rsid w:val="D7BFD541"/>
    <w:rsid w:val="DBDDCAE0"/>
    <w:rsid w:val="FFB701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style>
  <w:style w:type="paragraph" w:styleId="3">
    <w:name w:val="Balloon Text"/>
    <w:basedOn w:val="1"/>
    <w:link w:val="17"/>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unhideWhenUsed/>
    <w:qFormat/>
    <w:uiPriority w:val="99"/>
    <w:rPr>
      <w:b/>
      <w:bCs/>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unhideWhenUsed/>
    <w:qFormat/>
    <w:uiPriority w:val="99"/>
    <w:rPr>
      <w:sz w:val="21"/>
      <w:szCs w:val="21"/>
    </w:rPr>
  </w:style>
  <w:style w:type="paragraph" w:customStyle="1" w:styleId="11">
    <w:name w:val="List Paragraph"/>
    <w:basedOn w:val="1"/>
    <w:link w:val="14"/>
    <w:qFormat/>
    <w:uiPriority w:val="34"/>
    <w:pPr>
      <w:ind w:firstLine="420" w:firstLineChars="200"/>
    </w:pPr>
    <w:rPr>
      <w:rFonts w:ascii="Calibri" w:hAnsi="Calibri"/>
    </w:rPr>
  </w:style>
  <w:style w:type="character" w:customStyle="1" w:styleId="12">
    <w:name w:val="页眉 Char"/>
    <w:basedOn w:val="9"/>
    <w:link w:val="5"/>
    <w:qFormat/>
    <w:uiPriority w:val="99"/>
    <w:rPr>
      <w:sz w:val="18"/>
      <w:szCs w:val="18"/>
    </w:rPr>
  </w:style>
  <w:style w:type="character" w:customStyle="1" w:styleId="13">
    <w:name w:val="页脚 Char"/>
    <w:basedOn w:val="9"/>
    <w:link w:val="4"/>
    <w:qFormat/>
    <w:uiPriority w:val="99"/>
    <w:rPr>
      <w:sz w:val="18"/>
      <w:szCs w:val="18"/>
    </w:rPr>
  </w:style>
  <w:style w:type="character" w:customStyle="1" w:styleId="14">
    <w:name w:val="列出段落 Char"/>
    <w:link w:val="11"/>
    <w:qFormat/>
    <w:uiPriority w:val="34"/>
    <w:rPr>
      <w:rFonts w:ascii="Calibri" w:hAnsi="Calibri"/>
    </w:rPr>
  </w:style>
  <w:style w:type="character" w:customStyle="1" w:styleId="15">
    <w:name w:val="批注文字 Char"/>
    <w:basedOn w:val="9"/>
    <w:link w:val="2"/>
    <w:semiHidden/>
    <w:qFormat/>
    <w:uiPriority w:val="99"/>
  </w:style>
  <w:style w:type="character" w:customStyle="1" w:styleId="16">
    <w:name w:val="批注主题 Char"/>
    <w:basedOn w:val="15"/>
    <w:link w:val="6"/>
    <w:semiHidden/>
    <w:qFormat/>
    <w:uiPriority w:val="99"/>
    <w:rPr>
      <w:b/>
      <w:bCs/>
    </w:rPr>
  </w:style>
  <w:style w:type="character" w:customStyle="1" w:styleId="17">
    <w:name w:val="批注框文本 Char"/>
    <w:basedOn w:val="9"/>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322</Words>
  <Characters>1837</Characters>
  <Lines>15</Lines>
  <Paragraphs>4</Paragraphs>
  <TotalTime>2</TotalTime>
  <ScaleCrop>false</ScaleCrop>
  <LinksUpToDate>false</LinksUpToDate>
  <CharactersWithSpaces>0</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2022-04-21T20:00:00Z</dcterms:created>
  <dc:creator>强文晓</dc:creator>
  <cp:lastModifiedBy>admin</cp:lastModifiedBy>
  <dcterms:modified xsi:type="dcterms:W3CDTF">2026-09-08T10:53:50Z</dcterms:modified>
  <dc:title>申请人须知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ies>
</file>