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99203">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p>
    <w:p w14:paraId="2893979F">
      <w:pPr>
        <w:jc w:val="center"/>
        <w:rPr>
          <w:rFonts w:hint="eastAsia" w:ascii="方正小标宋简体" w:hAnsi="方正小标宋简体" w:eastAsia="方正小标宋简体" w:cs="方正小标宋简体"/>
          <w:sz w:val="40"/>
          <w:szCs w:val="40"/>
        </w:rPr>
      </w:pPr>
    </w:p>
    <w:p w14:paraId="1E17DB30">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申请人须知、评分标准和评分方法</w:t>
      </w:r>
    </w:p>
    <w:p w14:paraId="3241CC98">
      <w:pPr>
        <w:jc w:val="center"/>
        <w:rPr>
          <w:rFonts w:hint="eastAsia" w:ascii="方正小标宋简体" w:hAnsi="方正小标宋简体" w:eastAsia="方正小标宋简体" w:cs="方正小标宋简体"/>
          <w:sz w:val="40"/>
          <w:szCs w:val="40"/>
        </w:rPr>
      </w:pPr>
    </w:p>
    <w:p w14:paraId="3915E6AC">
      <w:pPr>
        <w:spacing w:line="360" w:lineRule="auto"/>
        <w:jc w:val="center"/>
        <w:rPr>
          <w:rFonts w:ascii="仿宋" w:hAnsi="仿宋" w:eastAsia="仿宋" w:cs="宋体"/>
          <w:b/>
          <w:bCs/>
          <w:sz w:val="32"/>
          <w:szCs w:val="28"/>
        </w:rPr>
      </w:pPr>
      <w:r>
        <w:rPr>
          <w:rFonts w:ascii="仿宋" w:hAnsi="仿宋" w:eastAsia="仿宋" w:cs="宋体"/>
          <w:b/>
          <w:bCs/>
          <w:sz w:val="32"/>
          <w:szCs w:val="28"/>
        </w:rPr>
        <w:t>申请人须知</w:t>
      </w:r>
    </w:p>
    <w:p w14:paraId="3782E65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宋体"/>
          <w:bCs/>
          <w:sz w:val="28"/>
          <w:szCs w:val="28"/>
        </w:rPr>
      </w:pPr>
      <w:r>
        <w:rPr>
          <w:rFonts w:hint="eastAsia" w:ascii="仿宋" w:hAnsi="仿宋" w:eastAsia="仿宋" w:cs="宋体"/>
          <w:bCs/>
          <w:sz w:val="28"/>
          <w:szCs w:val="28"/>
          <w:lang w:val="en-US" w:eastAsia="zh-CN"/>
        </w:rPr>
        <w:t>1.</w:t>
      </w:r>
      <w:r>
        <w:rPr>
          <w:rFonts w:hint="eastAsia" w:ascii="仿宋" w:hAnsi="仿宋" w:eastAsia="仿宋" w:cs="宋体"/>
          <w:bCs/>
          <w:sz w:val="28"/>
          <w:szCs w:val="28"/>
        </w:rPr>
        <w:t>遴选响应文件签署和盖章要求：遴选响应文件需打印或用不退色墨水书写，由申请人的法定代表人或其授权代表在遴选文件规定的地方签字，并进行逐页盖章或加盖骑缝章。</w:t>
      </w:r>
    </w:p>
    <w:p w14:paraId="6C3BBA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宋体"/>
          <w:bCs/>
          <w:sz w:val="28"/>
          <w:szCs w:val="28"/>
        </w:rPr>
      </w:pPr>
      <w:r>
        <w:rPr>
          <w:rFonts w:hint="eastAsia" w:ascii="仿宋" w:hAnsi="仿宋" w:eastAsia="仿宋" w:cs="宋体"/>
          <w:bCs/>
          <w:sz w:val="28"/>
          <w:szCs w:val="28"/>
          <w:lang w:val="en-US" w:eastAsia="zh-CN"/>
        </w:rPr>
        <w:t>2.</w:t>
      </w:r>
      <w:r>
        <w:rPr>
          <w:rFonts w:hint="eastAsia" w:ascii="仿宋" w:hAnsi="仿宋" w:eastAsia="仿宋" w:cs="宋体"/>
          <w:bCs/>
          <w:sz w:val="28"/>
          <w:szCs w:val="28"/>
        </w:rPr>
        <w:t>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14:paraId="74C918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宋体"/>
          <w:bCs/>
          <w:sz w:val="28"/>
          <w:szCs w:val="28"/>
        </w:rPr>
      </w:pPr>
      <w:r>
        <w:rPr>
          <w:rFonts w:hint="eastAsia" w:ascii="仿宋" w:hAnsi="仿宋" w:eastAsia="仿宋" w:cs="宋体"/>
          <w:bCs/>
          <w:sz w:val="28"/>
          <w:szCs w:val="28"/>
          <w:lang w:val="en-US" w:eastAsia="zh-CN"/>
        </w:rPr>
        <w:t>3.</w:t>
      </w:r>
      <w:r>
        <w:rPr>
          <w:rFonts w:hint="eastAsia" w:ascii="仿宋" w:hAnsi="仿宋" w:eastAsia="仿宋" w:cs="宋体"/>
          <w:bCs/>
          <w:sz w:val="28"/>
          <w:szCs w:val="28"/>
        </w:rPr>
        <w:t>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w:t>
      </w:r>
      <w:r>
        <w:rPr>
          <w:rFonts w:hint="eastAsia" w:ascii="仿宋" w:hAnsi="仿宋" w:eastAsia="仿宋" w:cs="宋体"/>
          <w:bCs/>
          <w:color w:val="auto"/>
          <w:sz w:val="28"/>
          <w:szCs w:val="28"/>
        </w:rPr>
        <w:t>成交候</w:t>
      </w:r>
      <w:r>
        <w:rPr>
          <w:rFonts w:hint="eastAsia" w:ascii="仿宋" w:hAnsi="仿宋" w:eastAsia="仿宋" w:cs="宋体"/>
          <w:bCs/>
          <w:sz w:val="28"/>
          <w:szCs w:val="28"/>
        </w:rPr>
        <w:t>选人。由业务处室最终决定成交申请人。评分分值计算保留小数点后两位，第三位四舍五入。</w:t>
      </w:r>
    </w:p>
    <w:p w14:paraId="4FF0A2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宋体"/>
          <w:bCs/>
          <w:sz w:val="28"/>
          <w:szCs w:val="28"/>
        </w:rPr>
      </w:pPr>
      <w:r>
        <w:rPr>
          <w:rFonts w:hint="eastAsia" w:ascii="仿宋" w:hAnsi="仿宋" w:eastAsia="仿宋" w:cs="宋体"/>
          <w:bCs/>
          <w:sz w:val="28"/>
          <w:szCs w:val="28"/>
          <w:lang w:val="en-US" w:eastAsia="zh-CN"/>
        </w:rPr>
        <w:t>4.</w:t>
      </w:r>
      <w:r>
        <w:rPr>
          <w:rFonts w:hint="eastAsia" w:ascii="仿宋" w:hAnsi="仿宋" w:eastAsia="仿宋" w:cs="宋体"/>
          <w:bCs/>
          <w:sz w:val="28"/>
          <w:szCs w:val="28"/>
          <w:lang w:eastAsia="zh-CN"/>
        </w:rPr>
        <w:t>如对本项目进行实质性响应的供应商不足</w:t>
      </w:r>
      <w:r>
        <w:rPr>
          <w:rFonts w:hint="eastAsia" w:ascii="仿宋" w:hAnsi="仿宋" w:eastAsia="仿宋" w:cs="宋体"/>
          <w:bCs/>
          <w:sz w:val="28"/>
          <w:szCs w:val="28"/>
          <w:lang w:val="en-US" w:eastAsia="zh-CN"/>
        </w:rPr>
        <w:t>2</w:t>
      </w:r>
      <w:r>
        <w:rPr>
          <w:rFonts w:hint="eastAsia" w:ascii="仿宋" w:hAnsi="仿宋" w:eastAsia="仿宋" w:cs="宋体"/>
          <w:bCs/>
          <w:sz w:val="28"/>
          <w:szCs w:val="28"/>
          <w:lang w:eastAsia="zh-CN"/>
        </w:rPr>
        <w:t>家但大于等于</w:t>
      </w:r>
      <w:r>
        <w:rPr>
          <w:rFonts w:hint="eastAsia" w:ascii="仿宋" w:hAnsi="仿宋" w:eastAsia="仿宋" w:cs="宋体"/>
          <w:bCs/>
          <w:sz w:val="28"/>
          <w:szCs w:val="28"/>
          <w:lang w:val="en-US" w:eastAsia="zh-CN"/>
        </w:rPr>
        <w:t>1</w:t>
      </w:r>
      <w:r>
        <w:rPr>
          <w:rFonts w:hint="eastAsia" w:ascii="仿宋" w:hAnsi="仿宋" w:eastAsia="仿宋" w:cs="宋体"/>
          <w:bCs/>
          <w:sz w:val="28"/>
          <w:szCs w:val="28"/>
          <w:lang w:eastAsia="zh-CN"/>
        </w:rPr>
        <w:t>家时，项目主办处室决定是否继续进行采购活动或延期遴选文件获取时间及递交申请文件时间。如继续进行采购活动，如评审小组按照遴选文件对供应商的申请文件综合打分不足</w:t>
      </w:r>
      <w:r>
        <w:rPr>
          <w:rFonts w:hint="eastAsia" w:ascii="仿宋" w:hAnsi="仿宋" w:eastAsia="仿宋" w:cs="宋体"/>
          <w:bCs/>
          <w:sz w:val="28"/>
          <w:szCs w:val="28"/>
          <w:lang w:val="en-US" w:eastAsia="zh-CN"/>
        </w:rPr>
        <w:t>60分时，</w:t>
      </w:r>
      <w:r>
        <w:rPr>
          <w:rFonts w:hint="eastAsia" w:ascii="仿宋" w:hAnsi="仿宋" w:eastAsia="仿宋" w:cs="宋体"/>
          <w:bCs/>
          <w:sz w:val="28"/>
          <w:szCs w:val="28"/>
          <w:lang w:eastAsia="zh-CN"/>
        </w:rPr>
        <w:t>项目主办处室可以选择</w:t>
      </w:r>
      <w:r>
        <w:rPr>
          <w:rFonts w:hint="eastAsia" w:ascii="仿宋" w:hAnsi="仿宋" w:eastAsia="仿宋" w:cs="宋体"/>
          <w:bCs/>
          <w:sz w:val="28"/>
          <w:szCs w:val="28"/>
          <w:lang w:val="en-US" w:eastAsia="zh-CN"/>
        </w:rPr>
        <w:t>本项目废标</w:t>
      </w:r>
      <w:r>
        <w:rPr>
          <w:rFonts w:hint="eastAsia" w:ascii="仿宋" w:hAnsi="仿宋" w:eastAsia="仿宋" w:cs="宋体"/>
          <w:bCs/>
          <w:sz w:val="28"/>
          <w:szCs w:val="28"/>
          <w:lang w:eastAsia="zh-CN"/>
        </w:rPr>
        <w:t>。</w:t>
      </w:r>
    </w:p>
    <w:p w14:paraId="5F67B1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宋体"/>
          <w:bCs/>
          <w:sz w:val="28"/>
          <w:szCs w:val="28"/>
        </w:rPr>
      </w:pPr>
      <w:r>
        <w:rPr>
          <w:rFonts w:hint="eastAsia" w:ascii="仿宋" w:hAnsi="仿宋" w:eastAsia="仿宋" w:cs="宋体"/>
          <w:bCs/>
          <w:sz w:val="28"/>
          <w:szCs w:val="28"/>
          <w:lang w:val="en-US" w:eastAsia="zh-CN"/>
        </w:rPr>
        <w:t>5.</w:t>
      </w:r>
      <w:r>
        <w:rPr>
          <w:rFonts w:hint="eastAsia" w:ascii="仿宋" w:hAnsi="仿宋" w:eastAsia="仿宋" w:cs="宋体"/>
          <w:bCs/>
          <w:sz w:val="28"/>
          <w:szCs w:val="28"/>
        </w:rPr>
        <w:t>成交供应商拒绝与采购人签订合同的，采购人可以按照评审报告推荐的成交候选人名单排序，确定下一候选人为成交供应商，也可以重新开展采购活动。</w:t>
      </w:r>
    </w:p>
    <w:p w14:paraId="1CB38F78">
      <w:pPr>
        <w:pStyle w:val="2"/>
        <w:rPr>
          <w:rFonts w:hint="eastAsia"/>
        </w:rPr>
      </w:pPr>
    </w:p>
    <w:p w14:paraId="695FD463">
      <w:pPr>
        <w:jc w:val="center"/>
      </w:pPr>
      <w:r>
        <w:rPr>
          <w:rFonts w:hint="eastAsia" w:ascii="仿宋_GB2312" w:hAnsi="仿宋_GB2312" w:eastAsia="仿宋_GB2312" w:cs="仿宋_GB2312"/>
          <w:color w:val="000000"/>
          <w:sz w:val="32"/>
          <w:szCs w:val="32"/>
          <w:highlight w:val="none"/>
          <w:lang w:eastAsia="zh-CN"/>
        </w:rPr>
        <w:t>评分标准</w:t>
      </w:r>
    </w:p>
    <w:tbl>
      <w:tblPr>
        <w:tblStyle w:val="17"/>
        <w:tblW w:w="8775" w:type="dxa"/>
        <w:tblInd w:w="-2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
        <w:gridCol w:w="2284"/>
        <w:gridCol w:w="4146"/>
        <w:gridCol w:w="1470"/>
      </w:tblGrid>
      <w:tr w14:paraId="7CB87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3159" w:type="dxa"/>
            <w:gridSpan w:val="2"/>
            <w:tcBorders>
              <w:top w:val="single" w:color="000000" w:sz="4" w:space="0"/>
              <w:left w:val="single" w:color="000000" w:sz="4" w:space="0"/>
              <w:bottom w:val="single" w:color="000000" w:sz="4" w:space="0"/>
              <w:right w:val="single" w:color="000000" w:sz="4" w:space="0"/>
            </w:tcBorders>
            <w:noWrap w:val="0"/>
            <w:vAlign w:val="center"/>
          </w:tcPr>
          <w:p w14:paraId="59DBFCED">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国标黑体" w:hAnsi="国标黑体" w:eastAsia="国标黑体" w:cs="国标黑体"/>
                <w:b w:val="0"/>
                <w:bCs/>
                <w:i w:val="0"/>
                <w:color w:val="000000"/>
                <w:sz w:val="24"/>
                <w:szCs w:val="24"/>
                <w:u w:val="none"/>
              </w:rPr>
            </w:pPr>
            <w:r>
              <w:rPr>
                <w:rFonts w:hint="eastAsia" w:ascii="国标黑体" w:hAnsi="国标黑体" w:eastAsia="国标黑体" w:cs="国标黑体"/>
                <w:b w:val="0"/>
                <w:bCs/>
                <w:i w:val="0"/>
                <w:color w:val="000000"/>
                <w:kern w:val="0"/>
                <w:sz w:val="24"/>
                <w:szCs w:val="24"/>
                <w:u w:val="none"/>
                <w:lang w:val="en-US" w:eastAsia="zh-CN" w:bidi="ar"/>
              </w:rPr>
              <w:t>评分内容</w:t>
            </w:r>
          </w:p>
        </w:tc>
        <w:tc>
          <w:tcPr>
            <w:tcW w:w="4146" w:type="dxa"/>
            <w:tcBorders>
              <w:top w:val="single" w:color="000000" w:sz="4" w:space="0"/>
              <w:left w:val="single" w:color="000000" w:sz="4" w:space="0"/>
              <w:bottom w:val="single" w:color="000000" w:sz="4" w:space="0"/>
              <w:right w:val="single" w:color="000000" w:sz="4" w:space="0"/>
            </w:tcBorders>
            <w:noWrap/>
            <w:vAlign w:val="center"/>
          </w:tcPr>
          <w:p w14:paraId="6A00EDF2">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国标黑体" w:hAnsi="国标黑体" w:eastAsia="国标黑体" w:cs="国标黑体"/>
                <w:b w:val="0"/>
                <w:bCs/>
                <w:i w:val="0"/>
                <w:color w:val="000000"/>
                <w:sz w:val="24"/>
                <w:szCs w:val="24"/>
                <w:u w:val="none"/>
              </w:rPr>
            </w:pPr>
            <w:r>
              <w:rPr>
                <w:rFonts w:hint="eastAsia" w:ascii="国标黑体" w:hAnsi="国标黑体" w:eastAsia="国标黑体" w:cs="国标黑体"/>
                <w:b w:val="0"/>
                <w:bCs/>
                <w:i w:val="0"/>
                <w:color w:val="000000"/>
                <w:kern w:val="0"/>
                <w:sz w:val="24"/>
                <w:szCs w:val="24"/>
                <w:u w:val="none"/>
                <w:lang w:val="en-US" w:eastAsia="zh-CN" w:bidi="ar"/>
              </w:rPr>
              <w:t>评分标准说明</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5DDD2EEB">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国标黑体" w:hAnsi="国标黑体" w:eastAsia="国标黑体" w:cs="国标黑体"/>
                <w:b w:val="0"/>
                <w:bCs/>
                <w:i w:val="0"/>
                <w:color w:val="000000"/>
                <w:sz w:val="24"/>
                <w:szCs w:val="24"/>
                <w:u w:val="none"/>
              </w:rPr>
            </w:pPr>
            <w:r>
              <w:rPr>
                <w:rFonts w:hint="eastAsia" w:ascii="国标黑体" w:hAnsi="国标黑体" w:eastAsia="国标黑体" w:cs="国标黑体"/>
                <w:b w:val="0"/>
                <w:bCs/>
                <w:i w:val="0"/>
                <w:color w:val="000000"/>
                <w:kern w:val="0"/>
                <w:sz w:val="24"/>
                <w:szCs w:val="24"/>
                <w:u w:val="none"/>
                <w:lang w:val="en-US" w:eastAsia="zh-CN" w:bidi="ar"/>
              </w:rPr>
              <w:t>分值</w:t>
            </w:r>
            <w:r>
              <w:rPr>
                <w:rFonts w:hint="eastAsia" w:ascii="国标黑体" w:hAnsi="国标黑体" w:eastAsia="国标黑体" w:cs="国标黑体"/>
                <w:b w:val="0"/>
                <w:bCs/>
                <w:i w:val="0"/>
                <w:color w:val="000000"/>
                <w:kern w:val="0"/>
                <w:sz w:val="24"/>
                <w:szCs w:val="24"/>
                <w:u w:val="none"/>
                <w:lang w:val="en-US" w:eastAsia="zh-CN" w:bidi="ar"/>
              </w:rPr>
              <w:br w:type="textWrapping"/>
            </w:r>
            <w:r>
              <w:rPr>
                <w:rFonts w:hint="eastAsia" w:ascii="国标黑体" w:hAnsi="国标黑体" w:eastAsia="国标黑体" w:cs="国标黑体"/>
                <w:b w:val="0"/>
                <w:bCs/>
                <w:i w:val="0"/>
                <w:color w:val="000000"/>
                <w:kern w:val="0"/>
                <w:sz w:val="24"/>
                <w:szCs w:val="24"/>
                <w:u w:val="none"/>
                <w:lang w:val="en-US" w:eastAsia="zh-CN" w:bidi="ar"/>
              </w:rPr>
              <w:t>（总分100）</w:t>
            </w:r>
          </w:p>
        </w:tc>
      </w:tr>
      <w:tr w14:paraId="2E464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8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6C9CE16">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商务</w:t>
            </w: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61E1A8FD">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申请单位情况</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49FF5C8C">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申请单位承担此项工作的资质</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1ACB3DDA">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10</w:t>
            </w:r>
          </w:p>
        </w:tc>
      </w:tr>
      <w:tr w14:paraId="15167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3B5A2">
            <w:pPr>
              <w:keepNext w:val="0"/>
              <w:keepLines w:val="0"/>
              <w:pageBreakBefore w:val="0"/>
              <w:widowControl/>
              <w:kinsoku/>
              <w:wordWrap/>
              <w:overflowPunct/>
              <w:topLinePunct w:val="0"/>
              <w:autoSpaceDE/>
              <w:autoSpaceDN/>
              <w:bidi w:val="0"/>
              <w:adjustRightInd/>
              <w:snapToGrid/>
              <w:spacing w:after="0" w:line="320" w:lineRule="exact"/>
              <w:jc w:val="center"/>
              <w:rPr>
                <w:rFonts w:hint="eastAsia" w:ascii="仿宋_GB2312" w:hAnsi="微软雅黑" w:eastAsia="仿宋_GB2312" w:cs="仿宋_GB2312"/>
                <w:b/>
                <w:i w:val="0"/>
                <w:color w:val="000000"/>
                <w:sz w:val="24"/>
                <w:szCs w:val="24"/>
                <w:u w:val="none"/>
              </w:rPr>
            </w:pP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00E68645">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申请单位业绩和经验</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0F4169C6">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申请单位近三年承担过类似服务的业绩</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715C3AA">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14:paraId="14C39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4D6A117">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技术</w:t>
            </w: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1844D70B">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技术服务方案内容</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1A8CD603">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技术服务方案的详细程度和完整性，及方案的科学性和可操作性</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87961BF">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14:paraId="2B193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F5E44">
            <w:pPr>
              <w:keepNext w:val="0"/>
              <w:keepLines w:val="0"/>
              <w:pageBreakBefore w:val="0"/>
              <w:widowControl/>
              <w:kinsoku/>
              <w:wordWrap/>
              <w:overflowPunct/>
              <w:topLinePunct w:val="0"/>
              <w:autoSpaceDE/>
              <w:autoSpaceDN/>
              <w:bidi w:val="0"/>
              <w:adjustRightInd/>
              <w:snapToGrid/>
              <w:spacing w:after="0" w:line="320" w:lineRule="exact"/>
              <w:jc w:val="center"/>
              <w:rPr>
                <w:rFonts w:hint="eastAsia" w:ascii="仿宋_GB2312" w:hAnsi="微软雅黑" w:eastAsia="仿宋_GB2312" w:cs="仿宋_GB2312"/>
                <w:b/>
                <w:i w:val="0"/>
                <w:color w:val="000000"/>
                <w:sz w:val="24"/>
                <w:szCs w:val="24"/>
                <w:u w:val="none"/>
              </w:rPr>
            </w:pP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05E5C446">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需求理解和分析</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44D4DEA1">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申请人对本项目的背景、工作内容、目标，以及重点、难点、关键点等的理解程度及相关分析情况</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4EBC220">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r w14:paraId="17285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B82ABA">
            <w:pPr>
              <w:keepNext w:val="0"/>
              <w:keepLines w:val="0"/>
              <w:pageBreakBefore w:val="0"/>
              <w:widowControl/>
              <w:kinsoku/>
              <w:wordWrap/>
              <w:overflowPunct/>
              <w:topLinePunct w:val="0"/>
              <w:autoSpaceDE/>
              <w:autoSpaceDN/>
              <w:bidi w:val="0"/>
              <w:adjustRightInd/>
              <w:snapToGrid/>
              <w:spacing w:after="0" w:line="320" w:lineRule="exact"/>
              <w:jc w:val="center"/>
              <w:rPr>
                <w:rFonts w:hint="eastAsia" w:ascii="仿宋_GB2312" w:hAnsi="微软雅黑" w:eastAsia="仿宋_GB2312" w:cs="仿宋_GB2312"/>
                <w:b/>
                <w:i w:val="0"/>
                <w:color w:val="000000"/>
                <w:sz w:val="24"/>
                <w:szCs w:val="24"/>
                <w:u w:val="none"/>
              </w:rPr>
            </w:pP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1FD078FD">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项目人员分配方案</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3336C2CE">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项目负责人在相关领域的研究和工作经验。项目主要成员职称、学历及专业结构合理性。整体项目团队的专业性和胜任能力</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1EB2934">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655C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79549">
            <w:pPr>
              <w:keepNext w:val="0"/>
              <w:keepLines w:val="0"/>
              <w:pageBreakBefore w:val="0"/>
              <w:widowControl/>
              <w:kinsoku/>
              <w:wordWrap/>
              <w:overflowPunct/>
              <w:topLinePunct w:val="0"/>
              <w:autoSpaceDE/>
              <w:autoSpaceDN/>
              <w:bidi w:val="0"/>
              <w:adjustRightInd/>
              <w:snapToGrid/>
              <w:spacing w:after="0" w:line="320" w:lineRule="exact"/>
              <w:jc w:val="center"/>
              <w:rPr>
                <w:rFonts w:hint="eastAsia" w:ascii="仿宋_GB2312" w:hAnsi="微软雅黑" w:eastAsia="仿宋_GB2312" w:cs="仿宋_GB2312"/>
                <w:b/>
                <w:i w:val="0"/>
                <w:color w:val="000000"/>
                <w:sz w:val="24"/>
                <w:szCs w:val="24"/>
                <w:u w:val="none"/>
              </w:rPr>
            </w:pP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44B27814">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质量保证措施</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3E7F0A17">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各项措施方案完整、合理，能够保证项目质量和进度要求</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39EDD1AB">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45BC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4D1E6">
            <w:pPr>
              <w:keepNext w:val="0"/>
              <w:keepLines w:val="0"/>
              <w:pageBreakBefore w:val="0"/>
              <w:widowControl/>
              <w:kinsoku/>
              <w:wordWrap/>
              <w:overflowPunct/>
              <w:topLinePunct w:val="0"/>
              <w:autoSpaceDE/>
              <w:autoSpaceDN/>
              <w:bidi w:val="0"/>
              <w:adjustRightInd/>
              <w:snapToGrid/>
              <w:spacing w:after="0" w:line="320" w:lineRule="exact"/>
              <w:jc w:val="center"/>
              <w:rPr>
                <w:rFonts w:hint="eastAsia" w:ascii="仿宋_GB2312" w:hAnsi="微软雅黑" w:eastAsia="仿宋_GB2312" w:cs="仿宋_GB2312"/>
                <w:b/>
                <w:i w:val="0"/>
                <w:color w:val="000000"/>
                <w:sz w:val="24"/>
                <w:szCs w:val="24"/>
                <w:u w:val="none"/>
              </w:rPr>
            </w:pPr>
          </w:p>
        </w:tc>
        <w:tc>
          <w:tcPr>
            <w:tcW w:w="2284" w:type="dxa"/>
            <w:tcBorders>
              <w:top w:val="single" w:color="000000" w:sz="4" w:space="0"/>
              <w:left w:val="single" w:color="000000" w:sz="4" w:space="0"/>
              <w:bottom w:val="single" w:color="000000" w:sz="4" w:space="0"/>
              <w:right w:val="single" w:color="000000" w:sz="4" w:space="0"/>
            </w:tcBorders>
            <w:noWrap w:val="0"/>
            <w:vAlign w:val="center"/>
          </w:tcPr>
          <w:p w14:paraId="080868A7">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b/>
                <w:i w:val="0"/>
                <w:color w:val="000000"/>
                <w:sz w:val="24"/>
                <w:szCs w:val="24"/>
                <w:u w:val="none"/>
              </w:rPr>
            </w:pPr>
            <w:r>
              <w:rPr>
                <w:rFonts w:hint="eastAsia" w:ascii="仿宋_GB2312" w:hAnsi="微软雅黑" w:eastAsia="仿宋_GB2312" w:cs="仿宋_GB2312"/>
                <w:b/>
                <w:i w:val="0"/>
                <w:color w:val="000000"/>
                <w:kern w:val="0"/>
                <w:sz w:val="24"/>
                <w:szCs w:val="24"/>
                <w:u w:val="none"/>
                <w:lang w:val="en-US" w:eastAsia="zh-CN" w:bidi="ar"/>
              </w:rPr>
              <w:t>服务承诺</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1775D073">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申请人提供沟通机制情况</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A870808">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5431A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159" w:type="dxa"/>
            <w:gridSpan w:val="2"/>
            <w:tcBorders>
              <w:top w:val="single" w:color="000000" w:sz="4" w:space="0"/>
              <w:left w:val="single" w:color="000000" w:sz="4" w:space="0"/>
              <w:bottom w:val="single" w:color="000000" w:sz="4" w:space="0"/>
              <w:right w:val="single" w:color="000000" w:sz="4" w:space="0"/>
            </w:tcBorders>
            <w:noWrap w:val="0"/>
            <w:vAlign w:val="center"/>
          </w:tcPr>
          <w:p w14:paraId="026FFFAB">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价格</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5DAB7BFC">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仿宋_GB2312" w:hAnsi="微软雅黑" w:eastAsia="仿宋_GB2312" w:cs="仿宋_GB2312"/>
                <w:i w:val="0"/>
                <w:color w:val="000000"/>
                <w:sz w:val="24"/>
                <w:szCs w:val="24"/>
                <w:u w:val="none"/>
              </w:rPr>
            </w:pPr>
            <w:r>
              <w:rPr>
                <w:rFonts w:hint="eastAsia" w:ascii="仿宋_GB2312" w:hAnsi="微软雅黑" w:eastAsia="仿宋_GB2312" w:cs="仿宋_GB2312"/>
                <w:i w:val="0"/>
                <w:color w:val="000000"/>
                <w:kern w:val="0"/>
                <w:sz w:val="24"/>
                <w:szCs w:val="24"/>
                <w:u w:val="none"/>
                <w:lang w:val="en-US" w:eastAsia="zh-CN" w:bidi="ar"/>
              </w:rPr>
              <w:t>预算的合理性</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ECA2CBD">
            <w:pPr>
              <w:keepNext w:val="0"/>
              <w:keepLines w:val="0"/>
              <w:pageBreakBefore w:val="0"/>
              <w:widowControl/>
              <w:suppressLineNumbers w:val="0"/>
              <w:kinsoku/>
              <w:wordWrap/>
              <w:overflowPunct/>
              <w:topLinePunct w:val="0"/>
              <w:autoSpaceDE/>
              <w:autoSpaceDN/>
              <w:bidi w:val="0"/>
              <w:adjustRightInd/>
              <w:snapToGrid/>
              <w:spacing w:after="0" w:line="3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r>
    </w:tbl>
    <w:p w14:paraId="7DE3ABBE">
      <w:pPr>
        <w:pStyle w:val="10"/>
        <w:rPr>
          <w:rFonts w:hint="eastAsia" w:ascii="仿宋" w:hAnsi="仿宋" w:eastAsia="仿宋" w:cs="宋体"/>
          <w:bCs/>
          <w:sz w:val="28"/>
          <w:szCs w:val="28"/>
        </w:rPr>
      </w:pPr>
    </w:p>
    <w:p w14:paraId="180A1AD9">
      <w:pPr>
        <w:spacing w:line="360" w:lineRule="auto"/>
        <w:rPr>
          <w:rFonts w:hint="eastAsia" w:ascii="仿宋" w:hAnsi="仿宋" w:eastAsia="仿宋" w:cs="宋体"/>
          <w:bCs/>
          <w:sz w:val="28"/>
          <w:szCs w:val="28"/>
        </w:rPr>
      </w:pPr>
    </w:p>
    <w:p w14:paraId="46892818">
      <w:pPr>
        <w:spacing w:line="360" w:lineRule="auto"/>
        <w:rPr>
          <w:rFonts w:hint="eastAsia" w:ascii="仿宋" w:hAnsi="仿宋" w:eastAsia="仿宋" w:cs="宋体"/>
          <w:bCs/>
          <w:sz w:val="28"/>
          <w:szCs w:val="28"/>
        </w:rPr>
      </w:pPr>
    </w:p>
    <w:p w14:paraId="4DD065A8">
      <w:pPr>
        <w:rPr>
          <w:rFonts w:hint="eastAsia"/>
          <w:lang w:val="en-US" w:eastAsia="zh-CN"/>
        </w:rPr>
      </w:pPr>
      <w:bookmarkStart w:id="0" w:name="_GoBack"/>
      <w:bookmarkEnd w:id="0"/>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国标黑体">
    <w:altName w:val="黑体"/>
    <w:panose1 w:val="02000500000000000000"/>
    <w:charset w:val="86"/>
    <w:family w:val="auto"/>
    <w:pitch w:val="default"/>
    <w:sig w:usb0="00000000" w:usb1="00000000" w:usb2="00000000" w:usb3="00000000" w:csb0="00040000" w:csb1="00000000"/>
  </w:font>
  <w:font w:name="KSOF7DF6CDC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59F9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C60CA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3C60CA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976984"/>
    <w:multiLevelType w:val="multilevel"/>
    <w:tmpl w:val="6A976984"/>
    <w:lvl w:ilvl="0" w:tentative="0">
      <w:start w:val="1"/>
      <w:numFmt w:val="decimal"/>
      <w:lvlText w:val="%1"/>
      <w:lvlJc w:val="left"/>
      <w:pPr>
        <w:ind w:left="0" w:firstLine="0"/>
      </w:pPr>
      <w:rPr>
        <w:rFonts w:ascii="宋体" w:hAnsi="宋体" w:eastAsia="宋体"/>
        <w:b/>
        <w:bCs/>
      </w:rPr>
    </w:lvl>
    <w:lvl w:ilvl="1" w:tentative="0">
      <w:start w:val="1"/>
      <w:numFmt w:val="decimal"/>
      <w:lvlText w:val="%1.%2"/>
      <w:lvlJc w:val="left"/>
      <w:pPr>
        <w:ind w:left="0" w:firstLine="0"/>
      </w:pPr>
      <w:rPr>
        <w:rFonts w:hint="eastAsia" w:ascii="宋体" w:hAnsi="宋体" w:eastAsia="宋体"/>
        <w:b/>
        <w:i w:val="0"/>
        <w:color w:val="000000" w:themeColor="text1"/>
        <w:sz w:val="28"/>
        <w14:textFill>
          <w14:solidFill>
            <w14:schemeClr w14:val="tx1"/>
          </w14:solidFill>
        </w14:textFill>
      </w:rPr>
    </w:lvl>
    <w:lvl w:ilvl="2" w:tentative="0">
      <w:start w:val="1"/>
      <w:numFmt w:val="decimal"/>
      <w:lvlText w:val="%1.%2.%3"/>
      <w:lvlJc w:val="left"/>
      <w:pPr>
        <w:ind w:left="0" w:firstLine="0"/>
      </w:pPr>
      <w:rPr>
        <w:rFonts w:hint="eastAsia" w:ascii="宋体" w:hAnsi="宋体" w:eastAsia="宋体"/>
        <w:b/>
        <w:i w:val="0"/>
        <w:color w:val="000000" w:themeColor="text1"/>
        <w:sz w:val="28"/>
        <w14:textFill>
          <w14:solidFill>
            <w14:schemeClr w14:val="tx1"/>
          </w14:solidFill>
        </w14:textFill>
      </w:rPr>
    </w:lvl>
    <w:lvl w:ilvl="3" w:tentative="0">
      <w:start w:val="1"/>
      <w:numFmt w:val="decimal"/>
      <w:lvlText w:val="%1.%2.%3.%4"/>
      <w:lvlJc w:val="left"/>
      <w:pPr>
        <w:ind w:left="0" w:firstLine="0"/>
      </w:pPr>
      <w:rPr>
        <w:rFonts w:hint="eastAsia" w:ascii="宋体" w:hAnsi="宋体" w:eastAsia="宋体"/>
        <w:b/>
        <w:i w:val="0"/>
        <w:color w:val="000000" w:themeColor="text1"/>
        <w:sz w:val="28"/>
        <w14:textFill>
          <w14:solidFill>
            <w14:schemeClr w14:val="tx1"/>
          </w14:solidFill>
        </w14:textFill>
      </w:rPr>
    </w:lvl>
    <w:lvl w:ilvl="4" w:tentative="0">
      <w:start w:val="1"/>
      <w:numFmt w:val="decimal"/>
      <w:pStyle w:val="22"/>
      <w:lvlText w:val="%1.%2.%3.%4.%5"/>
      <w:lvlJc w:val="left"/>
      <w:pPr>
        <w:ind w:left="0" w:firstLine="0"/>
      </w:pPr>
      <w:rPr>
        <w:rFonts w:hint="eastAsia" w:ascii="宋体" w:hAnsi="宋体" w:eastAsia="宋体"/>
        <w:b/>
        <w:i w:val="0"/>
        <w:color w:val="000000" w:themeColor="text1"/>
        <w:sz w:val="28"/>
        <w14:textFill>
          <w14:solidFill>
            <w14:schemeClr w14:val="tx1"/>
          </w14:solidFill>
        </w14:textFill>
      </w:rPr>
    </w:lvl>
    <w:lvl w:ilvl="5" w:tentative="0">
      <w:start w:val="1"/>
      <w:numFmt w:val="decimal"/>
      <w:lvlText w:val="%1.%2.%3.%4.%5.%6"/>
      <w:lvlJc w:val="left"/>
      <w:pPr>
        <w:ind w:left="0" w:firstLine="0"/>
      </w:pPr>
      <w:rPr>
        <w:rFonts w:hint="eastAsia" w:ascii="宋体" w:hAnsi="宋体" w:eastAsia="宋体"/>
        <w:b/>
        <w:i w:val="0"/>
        <w:color w:val="000000" w:themeColor="text1"/>
        <w:sz w:val="28"/>
        <w14:textFill>
          <w14:solidFill>
            <w14:schemeClr w14:val="tx1"/>
          </w14:solidFill>
        </w14:textFill>
      </w:rPr>
    </w:lvl>
    <w:lvl w:ilvl="6" w:tentative="0">
      <w:start w:val="1"/>
      <w:numFmt w:val="decimal"/>
      <w:lvlText w:val="%1.%2.%3.%4.%5.%6.%7"/>
      <w:lvlJc w:val="left"/>
      <w:pPr>
        <w:ind w:left="0" w:firstLine="0"/>
      </w:pPr>
      <w:rPr>
        <w:rFonts w:hint="eastAsia" w:ascii="宋体" w:hAnsi="宋体" w:eastAsia="宋体"/>
        <w:b/>
        <w:i w:val="0"/>
        <w:color w:val="000000" w:themeColor="text1"/>
        <w:sz w:val="28"/>
        <w14:textFill>
          <w14:solidFill>
            <w14:schemeClr w14:val="tx1"/>
          </w14:solidFill>
        </w14:textFill>
      </w:rPr>
    </w:lvl>
    <w:lvl w:ilvl="7" w:tentative="0">
      <w:start w:val="1"/>
      <w:numFmt w:val="decimal"/>
      <w:lvlText w:val="%1.%2.%3.%4.%5.%6.%7.%8"/>
      <w:lvlJc w:val="left"/>
      <w:pPr>
        <w:ind w:left="0" w:firstLine="0"/>
      </w:pPr>
      <w:rPr>
        <w:rFonts w:hint="eastAsia" w:ascii="宋体" w:hAnsi="宋体" w:eastAsia="宋体"/>
        <w:b/>
        <w:i w:val="0"/>
        <w:color w:val="000000" w:themeColor="text1"/>
        <w:sz w:val="28"/>
        <w14:textFill>
          <w14:solidFill>
            <w14:schemeClr w14:val="tx1"/>
          </w14:solidFill>
        </w14:textFill>
      </w:rPr>
    </w:lvl>
    <w:lvl w:ilvl="8" w:tentative="0">
      <w:start w:val="1"/>
      <w:numFmt w:val="decimal"/>
      <w:lvlText w:val="%1.%2.%3.%4.%5.%6.%7.%8.%9"/>
      <w:lvlJc w:val="left"/>
      <w:pPr>
        <w:ind w:left="0" w:firstLine="0"/>
      </w:pPr>
      <w:rPr>
        <w:rFonts w:hint="eastAsia" w:ascii="宋体" w:hAnsi="宋体" w:eastAsia="宋体"/>
        <w:b/>
        <w:i w:val="0"/>
        <w:color w:val="000000" w:themeColor="text1"/>
        <w:sz w:val="28"/>
        <w14:textFill>
          <w14:solidFill>
            <w14:schemeClr w14:val="tx1"/>
          </w14:solidFill>
        </w14:textFil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41C78"/>
    <w:rsid w:val="02D84414"/>
    <w:rsid w:val="03BE2082"/>
    <w:rsid w:val="03F37622"/>
    <w:rsid w:val="04DF7CDC"/>
    <w:rsid w:val="053A2525"/>
    <w:rsid w:val="08CF3B70"/>
    <w:rsid w:val="08F875BE"/>
    <w:rsid w:val="09297778"/>
    <w:rsid w:val="0970660C"/>
    <w:rsid w:val="0BA23811"/>
    <w:rsid w:val="0D54078E"/>
    <w:rsid w:val="0D7F3B89"/>
    <w:rsid w:val="0F41676A"/>
    <w:rsid w:val="0F421593"/>
    <w:rsid w:val="10125802"/>
    <w:rsid w:val="10521CAA"/>
    <w:rsid w:val="10EF12A7"/>
    <w:rsid w:val="11472E91"/>
    <w:rsid w:val="13070B2A"/>
    <w:rsid w:val="147B4BE6"/>
    <w:rsid w:val="14F450DE"/>
    <w:rsid w:val="17793FC0"/>
    <w:rsid w:val="19A1335A"/>
    <w:rsid w:val="1A7E2BEA"/>
    <w:rsid w:val="1BB6786D"/>
    <w:rsid w:val="1BB8267A"/>
    <w:rsid w:val="1C60602A"/>
    <w:rsid w:val="1C8E4F63"/>
    <w:rsid w:val="1E0F4D36"/>
    <w:rsid w:val="1FDB2DA8"/>
    <w:rsid w:val="20AA51EA"/>
    <w:rsid w:val="2140415A"/>
    <w:rsid w:val="222A0391"/>
    <w:rsid w:val="226714DE"/>
    <w:rsid w:val="23FB7503"/>
    <w:rsid w:val="255F2A47"/>
    <w:rsid w:val="265D1A6F"/>
    <w:rsid w:val="268B161A"/>
    <w:rsid w:val="27160EE4"/>
    <w:rsid w:val="2778394C"/>
    <w:rsid w:val="28732366"/>
    <w:rsid w:val="2AD4533E"/>
    <w:rsid w:val="2B643BDB"/>
    <w:rsid w:val="2B715282"/>
    <w:rsid w:val="2D133730"/>
    <w:rsid w:val="2D795D1E"/>
    <w:rsid w:val="2D7E77E3"/>
    <w:rsid w:val="2E165C6D"/>
    <w:rsid w:val="2F432A92"/>
    <w:rsid w:val="31264419"/>
    <w:rsid w:val="313C246A"/>
    <w:rsid w:val="32C04A34"/>
    <w:rsid w:val="32D007AA"/>
    <w:rsid w:val="34DF4865"/>
    <w:rsid w:val="370945C1"/>
    <w:rsid w:val="38E250CA"/>
    <w:rsid w:val="3AA06FEA"/>
    <w:rsid w:val="3BA90120"/>
    <w:rsid w:val="3BC27434"/>
    <w:rsid w:val="3CF11D7F"/>
    <w:rsid w:val="3E2B5E29"/>
    <w:rsid w:val="3F204661"/>
    <w:rsid w:val="3FE07E89"/>
    <w:rsid w:val="406960D0"/>
    <w:rsid w:val="40FC63F3"/>
    <w:rsid w:val="43266CA1"/>
    <w:rsid w:val="45AC718B"/>
    <w:rsid w:val="45E038E7"/>
    <w:rsid w:val="4712301E"/>
    <w:rsid w:val="4B074265"/>
    <w:rsid w:val="4B3B68BB"/>
    <w:rsid w:val="4C3D403B"/>
    <w:rsid w:val="4D5E1D35"/>
    <w:rsid w:val="4D9F1383"/>
    <w:rsid w:val="4E086F29"/>
    <w:rsid w:val="4F456352"/>
    <w:rsid w:val="4F9C34C0"/>
    <w:rsid w:val="4FC652ED"/>
    <w:rsid w:val="4FC74BC1"/>
    <w:rsid w:val="52306A4E"/>
    <w:rsid w:val="56151261"/>
    <w:rsid w:val="563665FD"/>
    <w:rsid w:val="563E0CC7"/>
    <w:rsid w:val="57C2283E"/>
    <w:rsid w:val="5846521D"/>
    <w:rsid w:val="584F400F"/>
    <w:rsid w:val="58B57CAD"/>
    <w:rsid w:val="58BA3515"/>
    <w:rsid w:val="592F3F03"/>
    <w:rsid w:val="596B6C35"/>
    <w:rsid w:val="59B208C2"/>
    <w:rsid w:val="5AA63D51"/>
    <w:rsid w:val="5BC00E43"/>
    <w:rsid w:val="5C551DB7"/>
    <w:rsid w:val="5E1B4A56"/>
    <w:rsid w:val="5E552BEE"/>
    <w:rsid w:val="621E68C3"/>
    <w:rsid w:val="62D82F16"/>
    <w:rsid w:val="62ED4A7C"/>
    <w:rsid w:val="640A7ABE"/>
    <w:rsid w:val="6570351F"/>
    <w:rsid w:val="66C8504F"/>
    <w:rsid w:val="673F4707"/>
    <w:rsid w:val="67FC1454"/>
    <w:rsid w:val="68690D91"/>
    <w:rsid w:val="689A2A1B"/>
    <w:rsid w:val="6B3709F5"/>
    <w:rsid w:val="6B666FFD"/>
    <w:rsid w:val="6C3D64DF"/>
    <w:rsid w:val="6C9E6A6D"/>
    <w:rsid w:val="6D7777CF"/>
    <w:rsid w:val="6EB011EB"/>
    <w:rsid w:val="736359AD"/>
    <w:rsid w:val="74246C03"/>
    <w:rsid w:val="76C53359"/>
    <w:rsid w:val="781621CA"/>
    <w:rsid w:val="7BCF0A3B"/>
    <w:rsid w:val="7C7F3FAA"/>
    <w:rsid w:val="7CA27A4E"/>
    <w:rsid w:val="7E161FF2"/>
    <w:rsid w:val="7EA27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9"/>
    <w:pPr>
      <w:keepNext/>
      <w:keepLines/>
      <w:spacing w:before="160" w:after="80"/>
      <w:outlineLvl w:val="1"/>
    </w:pPr>
    <w:rPr>
      <w:rFonts w:eastAsia="微软雅黑" w:asciiTheme="majorHAnsi" w:hAnsiTheme="majorHAnsi" w:cstheme="majorBidi"/>
      <w:color w:val="000000" w:themeColor="text1"/>
      <w:sz w:val="30"/>
      <w:szCs w:val="40"/>
      <w14:textFill>
        <w14:solidFill>
          <w14:schemeClr w14:val="tx1"/>
        </w14:solidFill>
      </w14:textFill>
    </w:rPr>
  </w:style>
  <w:style w:type="paragraph" w:styleId="6">
    <w:name w:val="heading 3"/>
    <w:basedOn w:val="1"/>
    <w:next w:val="1"/>
    <w:unhideWhenUsed/>
    <w:qFormat/>
    <w:uiPriority w:val="0"/>
    <w:pPr>
      <w:keepNext/>
      <w:keepLines/>
      <w:spacing w:before="160" w:after="80"/>
      <w:outlineLvl w:val="2"/>
    </w:pPr>
    <w:rPr>
      <w:rFonts w:eastAsia="微软雅黑" w:asciiTheme="majorHAnsi" w:hAnsiTheme="majorHAnsi" w:cstheme="majorBidi"/>
      <w:color w:val="000000" w:themeColor="text1"/>
      <w:sz w:val="30"/>
      <w:szCs w:val="32"/>
      <w14:textFill>
        <w14:solidFill>
          <w14:schemeClr w14:val="tx1"/>
        </w14:solidFill>
      </w14:textFill>
    </w:rPr>
  </w:style>
  <w:style w:type="paragraph" w:styleId="7">
    <w:name w:val="heading 5"/>
    <w:basedOn w:val="1"/>
    <w:next w:val="1"/>
    <w:unhideWhenUsed/>
    <w:qFormat/>
    <w:uiPriority w:val="9"/>
    <w:pPr>
      <w:keepNext/>
      <w:keepLines/>
      <w:spacing w:before="80" w:after="40"/>
      <w:outlineLvl w:val="4"/>
    </w:pPr>
    <w:rPr>
      <w:rFonts w:cstheme="majorBidi"/>
      <w:color w:val="2E54A1" w:themeColor="accent1" w:themeShade="BF"/>
      <w:sz w:val="24"/>
      <w:szCs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120"/>
      <w:ind w:left="420" w:leftChars="200" w:firstLine="420"/>
    </w:pPr>
    <w:rPr>
      <w:rFonts w:ascii="Calibri" w:hAnsi="Calibri" w:eastAsia="仿宋" w:cs="Times New Roman"/>
      <w:sz w:val="21"/>
    </w:rPr>
  </w:style>
  <w:style w:type="paragraph" w:styleId="3">
    <w:name w:val="Body Text Indent"/>
    <w:basedOn w:val="1"/>
    <w:qFormat/>
    <w:uiPriority w:val="0"/>
    <w:pPr>
      <w:ind w:firstLine="480"/>
    </w:pPr>
    <w:rPr>
      <w:b/>
      <w:bCs/>
      <w:sz w:val="24"/>
    </w:rPr>
  </w:style>
  <w:style w:type="paragraph" w:styleId="8">
    <w:name w:val="annotation text"/>
    <w:basedOn w:val="1"/>
    <w:qFormat/>
    <w:uiPriority w:val="0"/>
    <w:pPr>
      <w:jc w:val="left"/>
    </w:pPr>
  </w:style>
  <w:style w:type="paragraph" w:styleId="9">
    <w:name w:val="Body Text"/>
    <w:basedOn w:val="1"/>
    <w:qFormat/>
    <w:uiPriority w:val="0"/>
    <w:pPr>
      <w:tabs>
        <w:tab w:val="left" w:pos="567"/>
      </w:tabs>
      <w:spacing w:before="120" w:line="22" w:lineRule="atLeast"/>
    </w:pPr>
    <w:rPr>
      <w:rFonts w:ascii="宋体" w:hAnsi="宋体"/>
      <w:sz w:val="24"/>
    </w:rPr>
  </w:style>
  <w:style w:type="paragraph" w:styleId="10">
    <w:name w:val="Block Text"/>
    <w:basedOn w:val="1"/>
    <w:qFormat/>
    <w:uiPriority w:val="0"/>
    <w:pPr>
      <w:spacing w:after="120"/>
      <w:ind w:left="1440" w:leftChars="700" w:right="1440" w:rightChars="7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envelope return"/>
    <w:basedOn w:val="1"/>
    <w:unhideWhenUsed/>
    <w:qFormat/>
    <w:uiPriority w:val="99"/>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4">
    <w:name w:val="toc 1"/>
    <w:basedOn w:val="1"/>
    <w:next w:val="1"/>
    <w:qFormat/>
    <w:uiPriority w:val="0"/>
  </w:style>
  <w:style w:type="paragraph" w:styleId="15">
    <w:name w:val="footnote text"/>
    <w:basedOn w:val="1"/>
    <w:next w:val="13"/>
    <w:qFormat/>
    <w:uiPriority w:val="0"/>
    <w:pPr>
      <w:snapToGrid w:val="0"/>
      <w:jc w:val="left"/>
    </w:pPr>
    <w:rPr>
      <w:rFonts w:ascii="Times New Roman" w:hAnsi="Times New Roman" w:eastAsia="宋体" w:cs="Times New Roman"/>
      <w:sz w:val="18"/>
      <w:szCs w:val="18"/>
    </w:rPr>
  </w:style>
  <w:style w:type="paragraph" w:styleId="16">
    <w:name w:val="Normal (Web)"/>
    <w:basedOn w:val="1"/>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lang w:eastAsia="zh-C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paragraph" w:customStyle="1" w:styleId="22">
    <w:name w:val="TY标题5"/>
    <w:basedOn w:val="7"/>
    <w:next w:val="1"/>
    <w:qFormat/>
    <w:uiPriority w:val="0"/>
    <w:pPr>
      <w:numPr>
        <w:ilvl w:val="4"/>
        <w:numId w:val="1"/>
      </w:numPr>
      <w:spacing w:before="0" w:after="0" w:line="360" w:lineRule="auto"/>
    </w:pPr>
    <w:rPr>
      <w:rFonts w:eastAsia="宋体" w:asciiTheme="minorHAnsi" w:hAnsiTheme="minorHAnsi" w:cstheme="minorBidi"/>
      <w:b/>
      <w:bCs/>
      <w:color w:val="000000"/>
      <w:sz w:val="28"/>
      <w:szCs w:val="28"/>
    </w:rPr>
  </w:style>
  <w:style w:type="paragraph" w:customStyle="1" w:styleId="23">
    <w:name w:val="标书正文"/>
    <w:basedOn w:val="1"/>
    <w:autoRedefine/>
    <w:qFormat/>
    <w:uiPriority w:val="0"/>
    <w:pPr>
      <w:kinsoku/>
      <w:autoSpaceDE/>
      <w:autoSpaceDN/>
      <w:adjustRightInd/>
      <w:snapToGrid/>
      <w:spacing w:line="360" w:lineRule="auto"/>
      <w:ind w:firstLine="480" w:firstLineChars="200"/>
      <w:jc w:val="both"/>
    </w:pPr>
    <w:rPr>
      <w:rFonts w:ascii="宋体" w:hAnsi="宋体" w:eastAsia="宋体" w:cs="宋体"/>
      <w:sz w:val="24"/>
      <w:szCs w:val="24"/>
      <w:lang w:eastAsia="zh-CN"/>
    </w:rPr>
  </w:style>
  <w:style w:type="character" w:customStyle="1" w:styleId="24">
    <w:name w:val="NormalCharacter"/>
    <w:qFormat/>
    <w:uiPriority w:val="0"/>
  </w:style>
  <w:style w:type="paragraph" w:customStyle="1" w:styleId="25">
    <w:name w:val="Header"/>
    <w:basedOn w:val="1"/>
    <w:qFormat/>
    <w:uiPriority w:val="0"/>
    <w:pPr>
      <w:pBdr>
        <w:bottom w:val="single" w:color="000000" w:sz="6" w:space="1"/>
      </w:pBdr>
      <w:tabs>
        <w:tab w:val="center" w:pos="4153"/>
        <w:tab w:val="right" w:pos="8306"/>
      </w:tabs>
      <w:snapToGrid w:val="0"/>
      <w:jc w:val="center"/>
      <w:textAlignment w:val="baseline"/>
    </w:pPr>
    <w:rPr>
      <w:rFonts w:eastAsia="宋体"/>
      <w:kern w:val="2"/>
      <w:sz w:val="18"/>
      <w:szCs w:val="18"/>
      <w:lang w:val="en-US" w:eastAsia="zh-CN"/>
    </w:rPr>
  </w:style>
  <w:style w:type="paragraph" w:customStyle="1" w:styleId="26">
    <w:name w:val="Footer"/>
    <w:basedOn w:val="1"/>
    <w:qFormat/>
    <w:uiPriority w:val="0"/>
    <w:pPr>
      <w:tabs>
        <w:tab w:val="center" w:pos="4153"/>
        <w:tab w:val="right" w:pos="8306"/>
      </w:tabs>
      <w:snapToGrid w:val="0"/>
      <w:jc w:val="left"/>
      <w:textAlignment w:val="baseline"/>
    </w:pPr>
    <w:rPr>
      <w:rFonts w:eastAsia="宋体"/>
      <w:kern w:val="2"/>
      <w:sz w:val="18"/>
      <w:lang w:val="en-US" w:eastAsia="zh-CN"/>
    </w:rPr>
  </w:style>
  <w:style w:type="paragraph" w:customStyle="1" w:styleId="27">
    <w:name w:val="样式 标题 1 + 仿宋_GB2312 五号 自动设置 两端对齐 行距: 1.5 倍行距"/>
    <w:basedOn w:val="4"/>
    <w:next w:val="1"/>
    <w:qFormat/>
    <w:uiPriority w:val="0"/>
    <w:pPr>
      <w:autoSpaceDE w:val="0"/>
      <w:autoSpaceDN w:val="0"/>
      <w:adjustRightInd w:val="0"/>
      <w:spacing w:before="0" w:after="0" w:line="360" w:lineRule="auto"/>
      <w:ind w:right="-159" w:rightChars="-159" w:firstLine="196" w:firstLineChars="196"/>
      <w:jc w:val="center"/>
    </w:pPr>
    <w:rPr>
      <w:rFonts w:ascii="仿宋_GB2312" w:eastAsia="仿宋_GB2312" w:cs="仿宋_GB2312"/>
      <w:kern w:val="2"/>
      <w:sz w:val="28"/>
      <w:szCs w:val="28"/>
      <w:lang w:val="zh-CN"/>
    </w:rPr>
  </w:style>
  <w:style w:type="paragraph" w:customStyle="1" w:styleId="28">
    <w:name w:val="p0"/>
    <w:basedOn w:val="1"/>
    <w:qFormat/>
    <w:uiPriority w:val="0"/>
    <w:pPr>
      <w:widowControl/>
      <w:spacing w:before="100" w:beforeAutospacing="1" w:after="100" w:afterAutospacing="1"/>
      <w:jc w:val="left"/>
    </w:pPr>
    <w:rPr>
      <w:rFonts w:ascii="宋体" w:cs="宋体"/>
      <w:kern w:val="0"/>
      <w:sz w:val="24"/>
      <w:szCs w:val="24"/>
    </w:rPr>
  </w:style>
  <w:style w:type="paragraph" w:customStyle="1" w:styleId="29">
    <w:name w:val=" Char"/>
    <w:basedOn w:val="1"/>
    <w:qFormat/>
    <w:uiPriority w:val="0"/>
    <w:rPr>
      <w:rFonts w:ascii="宋体" w:hAnsi="宋体" w:cs="Courier New"/>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1502</Words>
  <Characters>1852</Characters>
  <Lines>0</Lines>
  <Paragraphs>0</Paragraphs>
  <TotalTime>0</TotalTime>
  <ScaleCrop>false</ScaleCrop>
  <LinksUpToDate>false</LinksUpToDate>
  <CharactersWithSpaces>1852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dc:creator>
  <cp:lastModifiedBy>秉</cp:lastModifiedBy>
  <dcterms:modified xsi:type="dcterms:W3CDTF">2026-09-04T12:37:49Z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eyJoZGlkIjoiOWQ0YzU0NzczNzMzMTM3Y2NkN2Y1MzRjNjhmNzJkN2YiLCJ1c2VySWQiOiI1MjM0MjE0NjQifQ==</vt:lpwstr>
  </property>
  <property fmtid="{D5CDD505-2E9C-101B-9397-08002B2CF9AE}" pid="4" name="ICV">
    <vt:lpwstr>ADA9A7FDA98C48A1B611BDE809E6F870_12</vt:lpwstr>
  </property>
</Properties>
</file>