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方正黑体_GBK" w:hAnsi="方正黑体_GBK" w:eastAsia="方正黑体_GBK" w:cs="方正黑体_GBK"/>
          <w:b w:val="0"/>
          <w:bCs w:val="0"/>
          <w:sz w:val="32"/>
          <w:szCs w:val="28"/>
          <w:lang w:val="en-US" w:eastAsia="zh-CN"/>
        </w:rPr>
      </w:pPr>
      <w:r>
        <w:rPr>
          <w:rFonts w:hint="eastAsia" w:ascii="方正黑体_GBK" w:hAnsi="方正黑体_GBK" w:eastAsia="方正黑体_GBK" w:cs="方正黑体_GBK"/>
          <w:b w:val="0"/>
          <w:bCs w:val="0"/>
          <w:sz w:val="32"/>
          <w:szCs w:val="28"/>
          <w:lang w:eastAsia="zh-CN"/>
        </w:rPr>
        <w:t>附件</w:t>
      </w:r>
      <w:r>
        <w:rPr>
          <w:rFonts w:hint="eastAsia" w:ascii="方正黑体_GBK" w:hAnsi="方正黑体_GBK" w:eastAsia="方正黑体_GBK" w:cs="方正黑体_GBK"/>
          <w:b w:val="0"/>
          <w:bCs w:val="0"/>
          <w:sz w:val="32"/>
          <w:szCs w:val="28"/>
          <w:lang w:val="en-US" w:eastAsia="zh-CN"/>
        </w:rPr>
        <w:t>1</w:t>
      </w:r>
    </w:p>
    <w:p>
      <w:pPr>
        <w:spacing w:line="360" w:lineRule="auto"/>
        <w:jc w:val="center"/>
        <w:rPr>
          <w:rFonts w:hint="eastAsia" w:ascii="仿宋" w:hAnsi="仿宋" w:eastAsia="仿宋" w:cs="宋体"/>
          <w:b/>
          <w:bCs/>
          <w:sz w:val="32"/>
          <w:szCs w:val="28"/>
        </w:rPr>
      </w:pPr>
      <w:r>
        <w:rPr>
          <w:rFonts w:ascii="仿宋" w:hAnsi="仿宋" w:eastAsia="仿宋" w:cs="宋体"/>
          <w:b/>
          <w:bCs/>
          <w:sz w:val="32"/>
          <w:szCs w:val="28"/>
        </w:rPr>
        <w:t>申请</w:t>
      </w:r>
      <w:r>
        <w:rPr>
          <w:rFonts w:hint="eastAsia" w:ascii="仿宋" w:hAnsi="仿宋" w:eastAsia="仿宋" w:cs="宋体"/>
          <w:b/>
          <w:bCs/>
          <w:sz w:val="32"/>
          <w:szCs w:val="28"/>
        </w:rPr>
        <w:t>单位</w:t>
      </w:r>
      <w:r>
        <w:rPr>
          <w:rFonts w:ascii="仿宋" w:hAnsi="仿宋" w:eastAsia="仿宋" w:cs="宋体"/>
          <w:b/>
          <w:bCs/>
          <w:sz w:val="32"/>
          <w:szCs w:val="28"/>
        </w:rPr>
        <w:t>须知</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bCs/>
          <w:sz w:val="28"/>
          <w:szCs w:val="28"/>
          <w:lang w:val="en-US" w:eastAsia="zh-CN"/>
        </w:rPr>
        <w:t>.</w:t>
      </w:r>
      <w:r>
        <w:rPr>
          <w:rFonts w:hint="eastAsia" w:ascii="仿宋" w:hAnsi="仿宋" w:eastAsia="仿宋" w:cs="宋体"/>
          <w:bCs/>
          <w:sz w:val="28"/>
          <w:szCs w:val="28"/>
        </w:rPr>
        <w:t>合格申请单位的条件：</w:t>
      </w:r>
    </w:p>
    <w:p>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hint="eastAsia" w:ascii="仿宋" w:hAnsi="仿宋" w:eastAsia="仿宋" w:cs="宋体"/>
          <w:bCs/>
          <w:sz w:val="28"/>
          <w:szCs w:val="28"/>
        </w:rPr>
        <w:t>1）在中华人民共和国境内注册，具有本项目实施能力，符合、承认并承诺履行本遴选文件各项规定。</w:t>
      </w:r>
    </w:p>
    <w:p>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ascii="仿宋" w:hAnsi="仿宋" w:eastAsia="仿宋" w:cs="宋体"/>
          <w:bCs/>
          <w:sz w:val="28"/>
          <w:szCs w:val="28"/>
        </w:rPr>
        <w:t>2</w:t>
      </w:r>
      <w:r>
        <w:rPr>
          <w:rFonts w:hint="eastAsia" w:ascii="仿宋" w:hAnsi="仿宋" w:eastAsia="仿宋" w:cs="宋体"/>
          <w:bCs/>
          <w:sz w:val="28"/>
          <w:szCs w:val="28"/>
        </w:rPr>
        <w:t>）遵守中华人民共和国有关的国家法律、法规和条例。</w:t>
      </w:r>
    </w:p>
    <w:p>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）单位负责人为同一人或者报价存在直接控股、管理关系的不同申请单位不得同时参加本项目遴选。违反规定的，相关申请及报价均无效。</w:t>
      </w:r>
    </w:p>
    <w:p>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hint="eastAsia" w:ascii="仿宋" w:hAnsi="仿宋" w:eastAsia="仿宋" w:cs="宋体"/>
          <w:bCs/>
          <w:sz w:val="28"/>
          <w:szCs w:val="28"/>
        </w:rPr>
        <w:t>4）申请单位不得被列入相关部门规定的失信被执行人、重大税收违法案件当事人名单、政府采购严重违法失信行为记录名单。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rPr>
        <w:t>2</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遴选响应文件签署和盖章要求：遴选响应文件需打印或用不退色墨水书写，由申请单位的法定代表人或其授权代表在遴选文件规定的地方签字，并进行逐页盖章或加盖骑缝章。</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
          <w:bCs/>
          <w:sz w:val="28"/>
          <w:szCs w:val="28"/>
        </w:rPr>
      </w:pPr>
      <w:r>
        <w:rPr>
          <w:rFonts w:hint="eastAsia" w:ascii="仿宋" w:hAnsi="仿宋" w:eastAsia="仿宋" w:cs="宋体"/>
          <w:bCs/>
          <w:sz w:val="28"/>
          <w:szCs w:val="28"/>
        </w:rPr>
        <w:t>3</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遴选小组对申请单位的遴选响应文件进行商务审查，以确定其是否满足遴选文件的实质性要求，并形成商务审查结果。申请单位有任何一项不符合《商务审查表》要求的，</w:t>
      </w:r>
      <w:r>
        <w:rPr>
          <w:rFonts w:hint="eastAsia" w:ascii="仿宋" w:hAnsi="仿宋" w:eastAsia="仿宋" w:cs="宋体"/>
          <w:b/>
          <w:bCs/>
          <w:sz w:val="28"/>
          <w:szCs w:val="28"/>
        </w:rPr>
        <w:t>遴选响应无效。</w:t>
      </w:r>
    </w:p>
    <w:p>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972"/>
        <w:gridCol w:w="4172"/>
        <w:gridCol w:w="3384"/>
      </w:tblGrid>
      <w:tr>
        <w:tblPrEx>
          <w:tblCellMar>
            <w:top w:w="0" w:type="dxa"/>
            <w:left w:w="108" w:type="dxa"/>
            <w:bottom w:w="0" w:type="dxa"/>
            <w:right w:w="108" w:type="dxa"/>
          </w:tblCellMar>
        </w:tblPrEx>
        <w:trPr>
          <w:trHeight w:val="479" w:hRule="atLeast"/>
        </w:trPr>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55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459" w:hRule="atLeast"/>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556" w:type="dxa"/>
            <w:gridSpan w:val="2"/>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384" w:hRule="atLeast"/>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556" w:type="dxa"/>
            <w:gridSpan w:val="2"/>
            <w:tcBorders>
              <w:top w:val="nil"/>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484" w:hRule="atLeast"/>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556"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是否提供满足遴选文件中要求的申请单位资格要求的承诺函</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w:t>
            </w:r>
          </w:p>
        </w:tc>
        <w:tc>
          <w:tcPr>
            <w:tcW w:w="7556"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是否为独立法人</w:t>
            </w:r>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有关事项的澄清或者说明：评审过程中，遴选小组会将以书面形式要求申请单位对其遴选响应文件中含义不明确、同类问题表述不一致或者有明显文字和计算错误的内容，作出必要的澄清、说明或者补正。申请单位的澄清、说明或者补正应当采用书面形式，并加盖公章，或者由法定代表人或其授权的代表签字。申请单位的澄清、说明或者补正不得超出遴选文件的范围或者改变遴选文件的实质性内容。澄清文件将作为遴选文件内容的一部分。</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5</w:t>
      </w:r>
      <w:r>
        <w:rPr>
          <w:rFonts w:hint="eastAsia" w:ascii="仿宋" w:hAnsi="仿宋" w:eastAsia="仿宋" w:cs="宋体"/>
          <w:bCs/>
          <w:sz w:val="28"/>
          <w:szCs w:val="28"/>
          <w:lang w:val="en-US" w:eastAsia="zh-CN"/>
        </w:rPr>
        <w:t>.</w:t>
      </w:r>
      <w:r>
        <w:rPr>
          <w:rFonts w:hint="eastAsia" w:ascii="仿宋" w:hAnsi="仿宋" w:eastAsia="仿宋" w:cs="宋体"/>
          <w:bCs/>
          <w:sz w:val="28"/>
          <w:szCs w:val="28"/>
        </w:rPr>
        <w:t>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单位为排名第一的成交候选人。评分分值计算保留小数点后两位，第三位四舍五入。</w:t>
      </w:r>
    </w:p>
    <w:p>
      <w:pPr>
        <w:keepNext w:val="0"/>
        <w:keepLines w:val="0"/>
        <w:pageBreakBefore w:val="0"/>
        <w:kinsoku/>
        <w:wordWrap/>
        <w:overflowPunct/>
        <w:topLinePunct w:val="0"/>
        <w:autoSpaceDE/>
        <w:autoSpaceDN/>
        <w:bidi w:val="0"/>
        <w:adjustRightInd/>
        <w:snapToGrid/>
        <w:spacing w:after="0"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rPr>
        <w:t>6</w:t>
      </w:r>
      <w:r>
        <w:rPr>
          <w:rFonts w:hint="eastAsia" w:ascii="仿宋" w:hAnsi="仿宋" w:eastAsia="仿宋" w:cs="宋体"/>
          <w:bCs/>
          <w:sz w:val="28"/>
          <w:szCs w:val="28"/>
          <w:lang w:val="en-US" w:eastAsia="zh-CN"/>
        </w:rPr>
        <w:t>.</w:t>
      </w:r>
      <w:r>
        <w:rPr>
          <w:rFonts w:hint="eastAsia" w:ascii="仿宋" w:hAnsi="仿宋" w:eastAsia="仿宋" w:cs="宋体"/>
          <w:bCs/>
          <w:sz w:val="28"/>
          <w:szCs w:val="28"/>
        </w:rPr>
        <w:t>如对本项目进行实质性响应的申请单位</w:t>
      </w:r>
      <w:r>
        <w:rPr>
          <w:rFonts w:hint="eastAsia" w:ascii="仿宋" w:hAnsi="仿宋" w:eastAsia="仿宋" w:cs="宋体"/>
          <w:bCs/>
          <w:sz w:val="28"/>
          <w:szCs w:val="28"/>
          <w:lang w:eastAsia="zh-CN"/>
        </w:rPr>
        <w:t>仅有</w:t>
      </w:r>
      <w:r>
        <w:rPr>
          <w:rFonts w:hint="eastAsia" w:ascii="仿宋" w:hAnsi="仿宋" w:eastAsia="仿宋" w:cs="宋体"/>
          <w:bCs/>
          <w:sz w:val="28"/>
          <w:szCs w:val="28"/>
        </w:rPr>
        <w:t>1家时，项目主办处室决定是否继续进行采购活动或延期遴选文件获取时间及递交申请文件时间。如继续进行采购活动，如评审小组按照遴选文件对申请单位的申请文件综合打分不足60分时，项目主办处室可以选择本项目废标。</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7</w:t>
      </w:r>
      <w:r>
        <w:rPr>
          <w:rFonts w:hint="eastAsia" w:ascii="仿宋" w:hAnsi="仿宋" w:eastAsia="仿宋" w:cs="宋体"/>
          <w:bCs/>
          <w:sz w:val="28"/>
          <w:szCs w:val="28"/>
          <w:lang w:val="en-US" w:eastAsia="zh-CN"/>
        </w:rPr>
        <w:t>.</w:t>
      </w:r>
      <w:r>
        <w:rPr>
          <w:rFonts w:hint="eastAsia" w:ascii="仿宋" w:hAnsi="仿宋" w:eastAsia="仿宋" w:cs="宋体"/>
          <w:bCs/>
          <w:sz w:val="28"/>
          <w:szCs w:val="28"/>
        </w:rPr>
        <w:t>成交申请单位拒绝与采购人签订合同的，采购人可以按照评审报告推荐的成交候选人名单排序，确定下一候选人为成交申请单位，也可以重新开展采购活动。</w:t>
      </w:r>
    </w:p>
    <w:p>
      <w:pPr>
        <w:spacing w:line="560" w:lineRule="exact"/>
        <w:ind w:firstLine="642" w:firstLineChars="200"/>
        <w:rPr>
          <w:rFonts w:hint="eastAsia" w:ascii="仿宋" w:hAnsi="仿宋" w:eastAsia="仿宋" w:cs="宋体"/>
          <w:b/>
          <w:bCs/>
          <w:sz w:val="32"/>
          <w:szCs w:val="28"/>
        </w:rPr>
        <w:sectPr>
          <w:pgSz w:w="11906" w:h="16838"/>
          <w:pgMar w:top="1361" w:right="1474" w:bottom="1440" w:left="1587" w:header="851" w:footer="992" w:gutter="0"/>
          <w:cols w:space="720" w:num="1"/>
          <w:docGrid w:type="lines" w:linePitch="312" w:charSpace="0"/>
        </w:sectPr>
      </w:pPr>
    </w:p>
    <w:p>
      <w:pPr>
        <w:widowControl/>
        <w:spacing w:line="0" w:lineRule="atLeast"/>
        <w:jc w:val="center"/>
        <w:rPr>
          <w:rFonts w:hint="eastAsia" w:ascii="黑体" w:hAnsi="黑体" w:eastAsia="黑体" w:cs="黑体"/>
          <w:sz w:val="32"/>
          <w:szCs w:val="32"/>
        </w:rPr>
      </w:pPr>
      <w:r>
        <w:rPr>
          <w:rFonts w:hint="eastAsia" w:ascii="黑体" w:hAnsi="黑体" w:eastAsia="黑体" w:cs="黑体"/>
          <w:sz w:val="32"/>
          <w:szCs w:val="32"/>
        </w:rPr>
        <w:t>评分标准</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080"/>
        <w:gridCol w:w="55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Align w:val="center"/>
          </w:tcPr>
          <w:p>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080" w:type="dxa"/>
            <w:vAlign w:val="center"/>
          </w:tcPr>
          <w:p>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561" w:type="dxa"/>
            <w:vAlign w:val="center"/>
          </w:tcPr>
          <w:p>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w:t>
            </w:r>
            <w:r>
              <w:rPr>
                <w:rFonts w:hint="eastAsia" w:ascii="仿宋" w:hAnsi="仿宋" w:eastAsia="仿宋"/>
                <w:b/>
                <w:color w:val="000000"/>
                <w:szCs w:val="21"/>
                <w:lang w:eastAsia="zh-CN"/>
              </w:rPr>
              <w:t>分</w:t>
            </w:r>
            <w:bookmarkStart w:id="0" w:name="_GoBack"/>
            <w:bookmarkEnd w:id="0"/>
            <w:r>
              <w:rPr>
                <w:rFonts w:hint="eastAsia" w:ascii="仿宋" w:hAnsi="仿宋" w:eastAsia="仿宋"/>
                <w:b/>
                <w:color w:val="000000"/>
                <w:szCs w:val="21"/>
              </w:rPr>
              <w:t>标准</w:t>
            </w:r>
          </w:p>
        </w:tc>
        <w:tc>
          <w:tcPr>
            <w:tcW w:w="709" w:type="dxa"/>
            <w:vAlign w:val="center"/>
          </w:tcPr>
          <w:p>
            <w:pPr>
              <w:pStyle w:val="10"/>
              <w:adjustRightInd w:val="0"/>
              <w:snapToGrid w:val="0"/>
              <w:spacing w:after="0" w:line="240" w:lineRule="auto"/>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22" w:type="dxa"/>
            <w:vMerge w:val="restart"/>
            <w:vAlign w:val="center"/>
          </w:tcPr>
          <w:p>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商务部分</w:t>
            </w:r>
          </w:p>
          <w:p>
            <w:pPr>
              <w:pStyle w:val="2"/>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（25分）</w:t>
            </w:r>
          </w:p>
        </w:tc>
        <w:tc>
          <w:tcPr>
            <w:tcW w:w="1080"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申报单位基本情况</w:t>
            </w:r>
          </w:p>
        </w:tc>
        <w:tc>
          <w:tcPr>
            <w:tcW w:w="5561" w:type="dxa"/>
            <w:vAlign w:val="center"/>
          </w:tcPr>
          <w:p>
            <w:pPr>
              <w:pStyle w:val="2"/>
              <w:adjustRightInd w:val="0"/>
              <w:snapToGrid w:val="0"/>
              <w:spacing w:after="0" w:line="240" w:lineRule="auto"/>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供应商资质情况良好（承担专业资质等）得5分。</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注：供应商需提供相关证明材料，否则不予认可。</w:t>
            </w:r>
          </w:p>
        </w:tc>
        <w:tc>
          <w:tcPr>
            <w:tcW w:w="709" w:type="dxa"/>
            <w:vAlign w:val="center"/>
          </w:tcPr>
          <w:p>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122" w:type="dxa"/>
            <w:vMerge w:val="continue"/>
          </w:tcPr>
          <w:p>
            <w:pPr>
              <w:adjustRightInd w:val="0"/>
              <w:snapToGrid w:val="0"/>
              <w:spacing w:after="0" w:line="240" w:lineRule="auto"/>
              <w:jc w:val="center"/>
              <w:rPr>
                <w:rFonts w:hint="eastAsia" w:ascii="宋体" w:hAnsi="宋体" w:eastAsia="宋体" w:cs="宋体"/>
                <w:kern w:val="2"/>
                <w:sz w:val="21"/>
                <w:szCs w:val="21"/>
                <w:lang w:val="en-US" w:eastAsia="zh-CN" w:bidi="ar-SA"/>
              </w:rPr>
            </w:pPr>
          </w:p>
        </w:tc>
        <w:tc>
          <w:tcPr>
            <w:tcW w:w="1080" w:type="dxa"/>
            <w:vAlign w:val="center"/>
          </w:tcPr>
          <w:p>
            <w:pPr>
              <w:widowControl/>
              <w:adjustRightInd w:val="0"/>
              <w:snapToGrid w:val="0"/>
              <w:spacing w:after="0"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相关业绩经验</w:t>
            </w:r>
          </w:p>
        </w:tc>
        <w:tc>
          <w:tcPr>
            <w:tcW w:w="5561" w:type="dxa"/>
            <w:vAlign w:val="center"/>
          </w:tcPr>
          <w:p>
            <w:pPr>
              <w:widowControl/>
              <w:adjustRightInd w:val="0"/>
              <w:snapToGrid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供应商近三年（2023年1月起至本采购活动遴选公告发布前（以合同签订日期为准）承接过类似服务业绩，每提供1个业绩得5分，最多得20分。</w:t>
            </w:r>
            <w:r>
              <w:rPr>
                <w:rFonts w:hint="eastAsia" w:ascii="宋体" w:hAnsi="宋体" w:eastAsia="宋体" w:cs="宋体"/>
                <w:kern w:val="2"/>
                <w:sz w:val="21"/>
                <w:szCs w:val="21"/>
                <w:lang w:val="en-US" w:eastAsia="zh-CN" w:bidi="ar-SA"/>
              </w:rPr>
              <w:br w:type="textWrapping"/>
            </w:r>
            <w:r>
              <w:rPr>
                <w:rFonts w:hint="eastAsia" w:ascii="宋体" w:hAnsi="宋体" w:eastAsia="宋体" w:cs="宋体"/>
                <w:kern w:val="2"/>
                <w:sz w:val="21"/>
                <w:szCs w:val="21"/>
                <w:lang w:val="en-US" w:eastAsia="zh-CN" w:bidi="ar-SA"/>
              </w:rPr>
              <w:t>注：需提供业绩合同或协议复印件并加盖公章，如无材料证明或证明材料不完整，上述内容将视为零分。</w:t>
            </w:r>
          </w:p>
        </w:tc>
        <w:tc>
          <w:tcPr>
            <w:tcW w:w="709" w:type="dxa"/>
            <w:vAlign w:val="center"/>
          </w:tcPr>
          <w:p>
            <w:pPr>
              <w:adjustRightInd w:val="0"/>
              <w:snapToGrid w:val="0"/>
              <w:spacing w:after="0"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122" w:type="dxa"/>
            <w:vMerge w:val="restart"/>
            <w:vAlign w:val="center"/>
          </w:tcPr>
          <w:p>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技术部分</w:t>
            </w:r>
          </w:p>
          <w:p>
            <w:pPr>
              <w:pStyle w:val="2"/>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5分）</w:t>
            </w:r>
          </w:p>
        </w:tc>
        <w:tc>
          <w:tcPr>
            <w:tcW w:w="1080"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项目方案</w:t>
            </w:r>
          </w:p>
        </w:tc>
        <w:tc>
          <w:tcPr>
            <w:tcW w:w="5561" w:type="dxa"/>
            <w:vAlign w:val="center"/>
          </w:tcPr>
          <w:p>
            <w:pPr>
              <w:widowControl/>
              <w:adjustRightInd w:val="0"/>
              <w:snapToGrid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整体方案设计及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709" w:type="dxa"/>
            <w:vAlign w:val="center"/>
          </w:tcPr>
          <w:p>
            <w:pPr>
              <w:adjustRightInd w:val="0"/>
              <w:snapToGrid w:val="0"/>
              <w:spacing w:after="0"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trPr>
        <w:tc>
          <w:tcPr>
            <w:tcW w:w="1122" w:type="dxa"/>
            <w:vMerge w:val="continue"/>
          </w:tcPr>
          <w:p>
            <w:pPr>
              <w:adjustRightInd w:val="0"/>
              <w:snapToGrid w:val="0"/>
              <w:spacing w:after="0" w:line="240" w:lineRule="auto"/>
              <w:jc w:val="center"/>
              <w:rPr>
                <w:rFonts w:hint="eastAsia" w:ascii="宋体" w:hAnsi="宋体" w:eastAsia="宋体" w:cs="宋体"/>
                <w:kern w:val="2"/>
                <w:sz w:val="21"/>
                <w:szCs w:val="21"/>
                <w:lang w:val="en-US" w:eastAsia="zh-CN" w:bidi="ar-SA"/>
              </w:rPr>
            </w:pPr>
          </w:p>
        </w:tc>
        <w:tc>
          <w:tcPr>
            <w:tcW w:w="1080"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项目人员配备</w:t>
            </w:r>
          </w:p>
        </w:tc>
        <w:tc>
          <w:tcPr>
            <w:tcW w:w="5561" w:type="dxa"/>
            <w:vAlign w:val="center"/>
          </w:tcPr>
          <w:p>
            <w:pPr>
              <w:widowControl/>
              <w:numPr>
                <w:ilvl w:val="0"/>
                <w:numId w:val="1"/>
              </w:numPr>
              <w:adjustRightInd w:val="0"/>
              <w:snapToGrid w:val="0"/>
              <w:spacing w:after="0" w:line="240" w:lineRule="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新媒体运营经验丰富，熟悉市属医院或医疗卫生领域宣传规律，学历(专业)背景与岗位匹配度高，人员分工明确、结构合理，与项目实际契合度高，得7-10分；</w:t>
            </w:r>
          </w:p>
          <w:p>
            <w:pPr>
              <w:widowControl/>
              <w:numPr>
                <w:ilvl w:val="0"/>
                <w:numId w:val="0"/>
              </w:numPr>
              <w:adjustRightInd w:val="0"/>
              <w:snapToGrid w:val="0"/>
              <w:spacing w:after="0" w:line="240" w:lineRule="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(2)新媒体运营经验较丰富，对医疗卫生领域有一定了解，学历(专业)符合要求，人员分工较明确，与项目实际契合度较高，得4-6分；</w:t>
            </w:r>
          </w:p>
          <w:p>
            <w:pPr>
              <w:widowControl/>
              <w:adjustRightInd w:val="0"/>
              <w:snapToGrid w:val="0"/>
              <w:spacing w:after="0" w:line="240" w:lineRule="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(3)新媒体运营经验一般，学历(专业)基本满足要求，人员分工不够清晰，与项目实际契合度一般，得1-3分；</w:t>
            </w:r>
          </w:p>
          <w:p>
            <w:pPr>
              <w:widowControl/>
              <w:adjustRightInd w:val="0"/>
              <w:snapToGrid w:val="0"/>
              <w:spacing w:after="0" w:line="240" w:lineRule="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(4)新媒体运营经验匮乏，学历(专业)与项目需求差距较大，分工不明确，无法满足项目实际需要，得0分。</w:t>
            </w:r>
          </w:p>
        </w:tc>
        <w:tc>
          <w:tcPr>
            <w:tcW w:w="709" w:type="dxa"/>
            <w:vAlign w:val="center"/>
          </w:tcPr>
          <w:p>
            <w:pPr>
              <w:adjustRightInd w:val="0"/>
              <w:snapToGrid w:val="0"/>
              <w:spacing w:after="0"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22" w:type="dxa"/>
            <w:vMerge w:val="continue"/>
          </w:tcPr>
          <w:p>
            <w:pPr>
              <w:adjustRightInd w:val="0"/>
              <w:snapToGrid w:val="0"/>
              <w:spacing w:after="0" w:line="240" w:lineRule="auto"/>
              <w:jc w:val="center"/>
              <w:rPr>
                <w:rFonts w:hint="eastAsia" w:ascii="宋体" w:hAnsi="宋体" w:eastAsia="宋体" w:cs="宋体"/>
                <w:kern w:val="2"/>
                <w:sz w:val="21"/>
                <w:szCs w:val="21"/>
                <w:lang w:val="en-US" w:eastAsia="zh-CN" w:bidi="ar-SA"/>
              </w:rPr>
            </w:pPr>
          </w:p>
        </w:tc>
        <w:tc>
          <w:tcPr>
            <w:tcW w:w="1080"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质量保证措施</w:t>
            </w:r>
          </w:p>
        </w:tc>
        <w:tc>
          <w:tcPr>
            <w:tcW w:w="5561" w:type="dxa"/>
            <w:vAlign w:val="center"/>
          </w:tcPr>
          <w:p>
            <w:pPr>
              <w:widowControl/>
              <w:adjustRightInd w:val="0"/>
              <w:snapToGrid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供应商质量管理体系健全，技术支持有保障，人员安</w:t>
            </w:r>
            <w:r>
              <w:rPr>
                <w:rFonts w:hint="eastAsia" w:ascii="宋体" w:hAnsi="宋体" w:cs="宋体"/>
                <w:kern w:val="2"/>
                <w:sz w:val="21"/>
                <w:szCs w:val="21"/>
                <w:lang w:val="en-US" w:eastAsia="zh-CN" w:bidi="ar-SA"/>
              </w:rPr>
              <w:t>排</w:t>
            </w:r>
            <w:r>
              <w:rPr>
                <w:rFonts w:hint="eastAsia" w:ascii="宋体" w:hAnsi="宋体" w:eastAsia="宋体" w:cs="宋体"/>
                <w:kern w:val="2"/>
                <w:sz w:val="21"/>
                <w:szCs w:val="21"/>
                <w:lang w:val="en-US" w:eastAsia="zh-CN" w:bidi="ar-SA"/>
              </w:rPr>
              <w:t>合理，能够在服务期内高质量完成合同要求。优秀的，得</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分；良好的，得</w:t>
            </w:r>
            <w:r>
              <w:rPr>
                <w:rFonts w:hint="eastAsia" w:ascii="宋体" w:hAnsi="宋体" w:cs="宋体"/>
                <w:kern w:val="2"/>
                <w:sz w:val="21"/>
                <w:szCs w:val="21"/>
                <w:lang w:val="en-US" w:eastAsia="zh-CN" w:bidi="ar-SA"/>
              </w:rPr>
              <w:t>6-10</w:t>
            </w:r>
            <w:r>
              <w:rPr>
                <w:rFonts w:hint="eastAsia" w:ascii="宋体" w:hAnsi="宋体" w:eastAsia="宋体" w:cs="宋体"/>
                <w:kern w:val="2"/>
                <w:sz w:val="21"/>
                <w:szCs w:val="21"/>
                <w:lang w:val="en-US" w:eastAsia="zh-CN" w:bidi="ar-SA"/>
              </w:rPr>
              <w:t>分；一般的，得</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分；较差的，得0分。</w:t>
            </w:r>
          </w:p>
        </w:tc>
        <w:tc>
          <w:tcPr>
            <w:tcW w:w="709" w:type="dxa"/>
            <w:vAlign w:val="center"/>
          </w:tcPr>
          <w:p>
            <w:pPr>
              <w:adjustRightInd w:val="0"/>
              <w:snapToGrid w:val="0"/>
              <w:spacing w:after="0"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22" w:type="dxa"/>
            <w:vMerge w:val="continue"/>
          </w:tcPr>
          <w:p>
            <w:pPr>
              <w:adjustRightInd w:val="0"/>
              <w:snapToGrid w:val="0"/>
              <w:spacing w:after="0" w:line="240" w:lineRule="auto"/>
              <w:jc w:val="center"/>
              <w:rPr>
                <w:rFonts w:hint="eastAsia" w:ascii="宋体" w:hAnsi="宋体" w:eastAsia="宋体" w:cs="宋体"/>
                <w:kern w:val="2"/>
                <w:sz w:val="21"/>
                <w:szCs w:val="21"/>
                <w:lang w:val="en-US" w:eastAsia="zh-CN" w:bidi="ar-SA"/>
              </w:rPr>
            </w:pPr>
          </w:p>
        </w:tc>
        <w:tc>
          <w:tcPr>
            <w:tcW w:w="1080"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服务承诺</w:t>
            </w:r>
          </w:p>
        </w:tc>
        <w:tc>
          <w:tcPr>
            <w:tcW w:w="5561" w:type="dxa"/>
            <w:vAlign w:val="center"/>
          </w:tcPr>
          <w:p>
            <w:pPr>
              <w:widowControl/>
              <w:adjustRightInd w:val="0"/>
              <w:snapToGrid w:val="0"/>
              <w:spacing w:after="0"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提供沟通机制，有指定专人负责定期沟通，配合，有专门的沟通机制或方案。优秀的，得</w:t>
            </w:r>
            <w:r>
              <w:rPr>
                <w:rFonts w:hint="eastAsia" w:ascii="宋体" w:hAnsi="宋体" w:cs="宋体"/>
                <w:kern w:val="2"/>
                <w:sz w:val="21"/>
                <w:szCs w:val="21"/>
                <w:lang w:val="en-US" w:eastAsia="zh-CN" w:bidi="ar-SA"/>
              </w:rPr>
              <w:t>7-10</w:t>
            </w:r>
            <w:r>
              <w:rPr>
                <w:rFonts w:hint="eastAsia" w:ascii="宋体" w:hAnsi="宋体" w:eastAsia="宋体" w:cs="宋体"/>
                <w:kern w:val="2"/>
                <w:sz w:val="21"/>
                <w:szCs w:val="21"/>
                <w:lang w:val="en-US" w:eastAsia="zh-CN" w:bidi="ar-SA"/>
              </w:rPr>
              <w:t>分；良好的，得</w:t>
            </w:r>
            <w:r>
              <w:rPr>
                <w:rFonts w:hint="eastAsia" w:ascii="宋体" w:hAnsi="宋体" w:cs="宋体"/>
                <w:kern w:val="2"/>
                <w:sz w:val="21"/>
                <w:szCs w:val="21"/>
                <w:lang w:val="en-US" w:eastAsia="zh-CN" w:bidi="ar-SA"/>
              </w:rPr>
              <w:t>4-6</w:t>
            </w:r>
            <w:r>
              <w:rPr>
                <w:rFonts w:hint="eastAsia" w:ascii="宋体" w:hAnsi="宋体" w:eastAsia="宋体" w:cs="宋体"/>
                <w:kern w:val="2"/>
                <w:sz w:val="21"/>
                <w:szCs w:val="21"/>
                <w:lang w:val="en-US" w:eastAsia="zh-CN" w:bidi="ar-SA"/>
              </w:rPr>
              <w:t>分；一般的，得</w:t>
            </w:r>
            <w:r>
              <w:rPr>
                <w:rFonts w:hint="eastAsia" w:ascii="宋体" w:hAnsi="宋体" w:cs="宋体"/>
                <w:kern w:val="2"/>
                <w:sz w:val="21"/>
                <w:szCs w:val="21"/>
                <w:lang w:val="en-US" w:eastAsia="zh-CN" w:bidi="ar-SA"/>
              </w:rPr>
              <w:t>1-3</w:t>
            </w:r>
            <w:r>
              <w:rPr>
                <w:rFonts w:hint="eastAsia" w:ascii="宋体" w:hAnsi="宋体" w:eastAsia="宋体" w:cs="宋体"/>
                <w:kern w:val="2"/>
                <w:sz w:val="21"/>
                <w:szCs w:val="21"/>
                <w:lang w:val="en-US" w:eastAsia="zh-CN" w:bidi="ar-SA"/>
              </w:rPr>
              <w:t>分；较差的，得</w:t>
            </w:r>
            <w:r>
              <w:rPr>
                <w:rFonts w:hint="eastAsia" w:ascii="宋体" w:hAnsi="宋体" w:cs="宋体"/>
                <w:kern w:val="2"/>
                <w:sz w:val="21"/>
                <w:szCs w:val="21"/>
                <w:lang w:val="en-US" w:eastAsia="zh-CN" w:bidi="ar-SA"/>
              </w:rPr>
              <w:t>0</w:t>
            </w:r>
            <w:r>
              <w:rPr>
                <w:rFonts w:hint="eastAsia" w:ascii="宋体" w:hAnsi="宋体" w:eastAsia="宋体" w:cs="宋体"/>
                <w:kern w:val="2"/>
                <w:sz w:val="21"/>
                <w:szCs w:val="21"/>
                <w:lang w:val="en-US" w:eastAsia="zh-CN" w:bidi="ar-SA"/>
              </w:rPr>
              <w:t>分。</w:t>
            </w:r>
          </w:p>
        </w:tc>
        <w:tc>
          <w:tcPr>
            <w:tcW w:w="709" w:type="dxa"/>
            <w:vAlign w:val="center"/>
          </w:tcPr>
          <w:p>
            <w:pPr>
              <w:pStyle w:val="10"/>
              <w:adjustRightInd w:val="0"/>
              <w:snapToGrid w:val="0"/>
              <w:spacing w:after="0" w:line="24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22" w:type="dxa"/>
            <w:vAlign w:val="center"/>
          </w:tcPr>
          <w:p>
            <w:pPr>
              <w:widowControl/>
              <w:adjustRightInd w:val="0"/>
              <w:snapToGrid w:val="0"/>
              <w:spacing w:after="0" w:line="240" w:lineRule="auto"/>
              <w:jc w:val="center"/>
              <w:rPr>
                <w:rFonts w:hint="eastAsia"/>
                <w:lang w:val="en-US" w:eastAsia="zh-CN"/>
              </w:rPr>
            </w:pPr>
            <w:r>
              <w:rPr>
                <w:rFonts w:hint="eastAsia"/>
                <w:lang w:val="en-US" w:eastAsia="zh-CN"/>
              </w:rPr>
              <w:t>投标报价</w:t>
            </w:r>
          </w:p>
          <w:p>
            <w:pPr>
              <w:pStyle w:val="2"/>
              <w:ind w:left="0" w:leftChars="0" w:firstLine="0" w:firstLineChars="0"/>
              <w:rPr>
                <w:rFonts w:hint="default"/>
                <w:lang w:val="en-US" w:eastAsia="zh-CN"/>
              </w:rPr>
            </w:pPr>
            <w:r>
              <w:rPr>
                <w:rFonts w:hint="eastAsia" w:ascii="宋体" w:hAnsi="宋体" w:cs="宋体"/>
                <w:kern w:val="2"/>
                <w:sz w:val="21"/>
                <w:szCs w:val="21"/>
                <w:lang w:val="en-US" w:eastAsia="zh-CN" w:bidi="ar-SA"/>
              </w:rPr>
              <w:t>（20分）</w:t>
            </w:r>
          </w:p>
        </w:tc>
        <w:tc>
          <w:tcPr>
            <w:tcW w:w="6641" w:type="dxa"/>
            <w:gridSpan w:val="2"/>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报价得分=（评审基准价/报价）×价格权值×100</w:t>
            </w:r>
          </w:p>
        </w:tc>
        <w:tc>
          <w:tcPr>
            <w:tcW w:w="709" w:type="dxa"/>
            <w:vAlign w:val="center"/>
          </w:tcPr>
          <w:p>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763" w:type="dxa"/>
            <w:gridSpan w:val="3"/>
            <w:vAlign w:val="center"/>
          </w:tcPr>
          <w:p>
            <w:pPr>
              <w:numPr>
                <w:ilvl w:val="0"/>
                <w:numId w:val="0"/>
              </w:numPr>
              <w:adjustRightInd w:val="0"/>
              <w:snapToGrid w:val="0"/>
              <w:spacing w:after="0" w:line="240" w:lineRule="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总分</w:t>
            </w:r>
          </w:p>
        </w:tc>
        <w:tc>
          <w:tcPr>
            <w:tcW w:w="709" w:type="dxa"/>
            <w:vAlign w:val="center"/>
          </w:tcPr>
          <w:p>
            <w:pPr>
              <w:adjustRightInd w:val="0"/>
              <w:snapToGrid w:val="0"/>
              <w:spacing w:after="0" w:line="240" w:lineRule="auto"/>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Align w:val="center"/>
          </w:tcPr>
          <w:p>
            <w:pPr>
              <w:widowControl/>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c>
          <w:tcPr>
            <w:tcW w:w="6641" w:type="dxa"/>
            <w:gridSpan w:val="2"/>
            <w:vAlign w:val="center"/>
          </w:tcPr>
          <w:p>
            <w:pPr>
              <w:pStyle w:val="2"/>
              <w:numPr>
                <w:ilvl w:val="0"/>
                <w:numId w:val="2"/>
              </w:numPr>
              <w:adjustRightInd w:val="0"/>
              <w:snapToGrid w:val="0"/>
              <w:spacing w:after="0" w:line="240" w:lineRule="auto"/>
              <w:ind w:left="420" w:leftChars="0" w:hanging="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实质性响应遴选文件要求且价格最低的报价为评审基准价</w:t>
            </w:r>
          </w:p>
          <w:p>
            <w:pPr>
              <w:pStyle w:val="2"/>
              <w:numPr>
                <w:ilvl w:val="0"/>
                <w:numId w:val="2"/>
              </w:numPr>
              <w:adjustRightInd w:val="0"/>
              <w:snapToGrid w:val="0"/>
              <w:spacing w:after="0" w:line="240" w:lineRule="auto"/>
              <w:ind w:left="420" w:leftChars="0" w:hanging="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价格权值=20%</w:t>
            </w:r>
          </w:p>
        </w:tc>
        <w:tc>
          <w:tcPr>
            <w:tcW w:w="709" w:type="dxa"/>
            <w:vAlign w:val="center"/>
          </w:tcPr>
          <w:p>
            <w:pPr>
              <w:adjustRightInd w:val="0"/>
              <w:snapToGrid w:val="0"/>
              <w:spacing w:after="0" w:line="240" w:lineRule="auto"/>
              <w:jc w:val="center"/>
              <w:rPr>
                <w:rFonts w:hint="eastAsia" w:ascii="宋体" w:hAnsi="宋体" w:eastAsia="宋体" w:cs="宋体"/>
                <w:kern w:val="2"/>
                <w:sz w:val="21"/>
                <w:szCs w:val="21"/>
                <w:lang w:val="en-US" w:eastAsia="zh-CN" w:bidi="ar-SA"/>
              </w:rPr>
            </w:pPr>
          </w:p>
        </w:tc>
      </w:tr>
    </w:tbl>
    <w:p>
      <w:pPr>
        <w:widowControl/>
        <w:jc w:val="left"/>
        <w:rPr>
          <w:rFonts w:hint="eastAsia" w:ascii="宋体" w:hAnsi="宋体" w:eastAsia="宋体" w:cs="宋体"/>
          <w:kern w:val="2"/>
          <w:sz w:val="21"/>
          <w:szCs w:val="21"/>
          <w:lang w:val="en-US" w:eastAsia="zh-CN" w:bidi="ar-SA"/>
        </w:rPr>
      </w:pP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C80CF"/>
    <w:multiLevelType w:val="singleLevel"/>
    <w:tmpl w:val="BABC80CF"/>
    <w:lvl w:ilvl="0" w:tentative="0">
      <w:start w:val="1"/>
      <w:numFmt w:val="decimal"/>
      <w:lvlText w:val="(%1)"/>
      <w:lvlJc w:val="left"/>
      <w:pPr>
        <w:tabs>
          <w:tab w:val="left" w:pos="312"/>
        </w:tabs>
      </w:pPr>
    </w:lvl>
  </w:abstractNum>
  <w:abstractNum w:abstractNumId="1">
    <w:nsid w:val="C30BA01B"/>
    <w:multiLevelType w:val="singleLevel"/>
    <w:tmpl w:val="C30BA01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1A684C"/>
    <w:rsid w:val="002813AC"/>
    <w:rsid w:val="00296944"/>
    <w:rsid w:val="002D2684"/>
    <w:rsid w:val="00394051"/>
    <w:rsid w:val="003A0849"/>
    <w:rsid w:val="003B2C36"/>
    <w:rsid w:val="003D1C53"/>
    <w:rsid w:val="003D5F9E"/>
    <w:rsid w:val="003E70D5"/>
    <w:rsid w:val="004A674A"/>
    <w:rsid w:val="004D73E0"/>
    <w:rsid w:val="004F644E"/>
    <w:rsid w:val="00504DC9"/>
    <w:rsid w:val="00515BAC"/>
    <w:rsid w:val="00516BF7"/>
    <w:rsid w:val="006337E9"/>
    <w:rsid w:val="006F7B9A"/>
    <w:rsid w:val="0072607C"/>
    <w:rsid w:val="007456A2"/>
    <w:rsid w:val="00797524"/>
    <w:rsid w:val="007A7660"/>
    <w:rsid w:val="008A2C42"/>
    <w:rsid w:val="00927497"/>
    <w:rsid w:val="0099485C"/>
    <w:rsid w:val="009E4859"/>
    <w:rsid w:val="00AF5D7D"/>
    <w:rsid w:val="00B33D64"/>
    <w:rsid w:val="00B54A12"/>
    <w:rsid w:val="00B82E11"/>
    <w:rsid w:val="00B927D3"/>
    <w:rsid w:val="00BA4C9E"/>
    <w:rsid w:val="00CA49E3"/>
    <w:rsid w:val="00CC3560"/>
    <w:rsid w:val="00CE2229"/>
    <w:rsid w:val="00D875C2"/>
    <w:rsid w:val="00DB1122"/>
    <w:rsid w:val="00E54984"/>
    <w:rsid w:val="00E93AC8"/>
    <w:rsid w:val="00FF1677"/>
    <w:rsid w:val="0185358B"/>
    <w:rsid w:val="064424ED"/>
    <w:rsid w:val="09410F65"/>
    <w:rsid w:val="286165E5"/>
    <w:rsid w:val="28BA4A28"/>
    <w:rsid w:val="2A021EEC"/>
    <w:rsid w:val="2AB733DD"/>
    <w:rsid w:val="34F66FC6"/>
    <w:rsid w:val="3EBDAE75"/>
    <w:rsid w:val="45B977E8"/>
    <w:rsid w:val="473506D4"/>
    <w:rsid w:val="47D77DC3"/>
    <w:rsid w:val="4AF65EAE"/>
    <w:rsid w:val="532A7941"/>
    <w:rsid w:val="54ED50CA"/>
    <w:rsid w:val="557F2C11"/>
    <w:rsid w:val="637301EA"/>
    <w:rsid w:val="65DC3BB9"/>
    <w:rsid w:val="675E13B0"/>
    <w:rsid w:val="67FBFCBD"/>
    <w:rsid w:val="68A51AEC"/>
    <w:rsid w:val="6DBB8E8B"/>
    <w:rsid w:val="711E3E45"/>
    <w:rsid w:val="71A07410"/>
    <w:rsid w:val="71D41371"/>
    <w:rsid w:val="779F0CC8"/>
    <w:rsid w:val="7834054B"/>
    <w:rsid w:val="7A2C349C"/>
    <w:rsid w:val="7D3F28F7"/>
    <w:rsid w:val="7F0F95B1"/>
    <w:rsid w:val="7FBB8C4F"/>
    <w:rsid w:val="DFBA1A89"/>
    <w:rsid w:val="EF5E09A9"/>
    <w:rsid w:val="F7FBDBE6"/>
    <w:rsid w:val="FF3D2065"/>
    <w:rsid w:val="FF77B4A7"/>
    <w:rsid w:val="FFF8B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1830</Words>
  <Characters>1852</Characters>
  <Lines>236</Lines>
  <Paragraphs>121</Paragraphs>
  <TotalTime>19</TotalTime>
  <ScaleCrop>false</ScaleCrop>
  <LinksUpToDate>false</LinksUpToDate>
  <CharactersWithSpaces>1855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2024-04-15T10:59:00Z</dcterms:created>
  <dc:creator>强文晓</dc:creator>
  <cp:lastModifiedBy>guo</cp:lastModifiedBy>
  <cp:lastPrinted>2026-06-09T07:35:00Z</cp:lastPrinted>
  <dcterms:modified xsi:type="dcterms:W3CDTF">2026-07-08T11:42:25Z</dcterms:modified>
  <dc:title>申请人须知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9A0B9656951D997E2E9CAA691468B711_43</vt:lpwstr>
  </property>
  <property fmtid="{D5CDD505-2E9C-101B-9397-08002B2CF9AE}" pid="4" name="KSOTemplateDocerSaveRecord">
    <vt:lpwstr>eyJoZGlkIjoiNGIyZmI2MWI5ZmNkYTUyNjQ3NTgyZWQxMGFhOGYxNTUiLCJ1c2VySWQiOiI0MjMwODUyODAifQ==</vt:lpwstr>
  </property>
</Properties>
</file>