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是否为独立法人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w:t>
      </w:r>
      <w:r>
        <w:rPr>
          <w:rFonts w:hint="eastAsia" w:ascii="仿宋" w:hAnsi="仿宋" w:eastAsia="仿宋" w:cs="宋体"/>
          <w:bCs/>
          <w:color w:val="auto"/>
          <w:sz w:val="28"/>
          <w:szCs w:val="28"/>
        </w:rPr>
        <w:t>成交候选人</w:t>
      </w:r>
      <w:r>
        <w:rPr>
          <w:rFonts w:hint="eastAsia" w:ascii="仿宋" w:hAnsi="仿宋" w:eastAsia="仿宋" w:cs="宋体"/>
          <w:bCs/>
          <w:sz w:val="28"/>
          <w:szCs w:val="28"/>
        </w:rPr>
        <w:t>。</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360" w:lineRule="auto"/>
        <w:jc w:val="left"/>
        <w:rPr>
          <w:rFonts w:hint="eastAsia" w:ascii="仿宋" w:hAnsi="仿宋" w:eastAsia="仿宋" w:cs="宋体"/>
          <w:bCs/>
          <w:sz w:val="28"/>
          <w:szCs w:val="28"/>
        </w:rPr>
      </w:pPr>
      <w:r>
        <w:rPr>
          <w:rFonts w:hint="eastAsia" w:ascii="仿宋" w:hAnsi="仿宋" w:eastAsia="仿宋" w:cs="宋体"/>
          <w:bCs/>
          <w:sz w:val="28"/>
          <w:szCs w:val="28"/>
          <w:lang w:val="en-US" w:eastAsia="zh-CN"/>
        </w:rPr>
        <w:t>5、</w:t>
      </w:r>
      <w:r>
        <w:rPr>
          <w:rFonts w:hint="eastAsia" w:ascii="仿宋" w:hAnsi="仿宋" w:eastAsia="仿宋" w:cs="宋体"/>
          <w:bCs/>
          <w:sz w:val="28"/>
          <w:szCs w:val="28"/>
          <w:lang w:eastAsia="zh-CN"/>
        </w:rPr>
        <w:t>如对本项目进行实质性响应的供应商不足</w:t>
      </w:r>
      <w:r>
        <w:rPr>
          <w:rFonts w:hint="eastAsia" w:ascii="仿宋" w:hAnsi="仿宋" w:eastAsia="仿宋" w:cs="宋体"/>
          <w:bCs/>
          <w:sz w:val="28"/>
          <w:szCs w:val="28"/>
          <w:lang w:val="en-US" w:eastAsia="zh-CN"/>
        </w:rPr>
        <w:t>2</w:t>
      </w:r>
      <w:r>
        <w:rPr>
          <w:rFonts w:hint="eastAsia" w:ascii="仿宋" w:hAnsi="仿宋" w:eastAsia="仿宋" w:cs="宋体"/>
          <w:bCs/>
          <w:sz w:val="28"/>
          <w:szCs w:val="28"/>
          <w:lang w:eastAsia="zh-CN"/>
        </w:rPr>
        <w:t>家但大于等于</w:t>
      </w:r>
      <w:r>
        <w:rPr>
          <w:rFonts w:hint="eastAsia" w:ascii="仿宋" w:hAnsi="仿宋" w:eastAsia="仿宋" w:cs="宋体"/>
          <w:bCs/>
          <w:sz w:val="28"/>
          <w:szCs w:val="28"/>
          <w:lang w:val="en-US" w:eastAsia="zh-CN"/>
        </w:rPr>
        <w:t>1</w:t>
      </w:r>
      <w:r>
        <w:rPr>
          <w:rFonts w:hint="eastAsia" w:ascii="仿宋" w:hAnsi="仿宋" w:eastAsia="仿宋" w:cs="宋体"/>
          <w:bCs/>
          <w:sz w:val="28"/>
          <w:szCs w:val="28"/>
          <w:lang w:eastAsia="zh-CN"/>
        </w:rPr>
        <w:t>家时，项目主办处室决定是否继续进行采购活动或延期遴选文件获取时间及递交申请文件时间。如继续进行采购活动，如评审小组按照遴选文件对供应商的申请文件综合打分不足</w:t>
      </w:r>
      <w:r>
        <w:rPr>
          <w:rFonts w:hint="eastAsia" w:ascii="仿宋" w:hAnsi="仿宋" w:eastAsia="仿宋" w:cs="宋体"/>
          <w:bCs/>
          <w:sz w:val="28"/>
          <w:szCs w:val="28"/>
          <w:lang w:val="en-US" w:eastAsia="zh-CN"/>
        </w:rPr>
        <w:t>60分时，</w:t>
      </w:r>
      <w:r>
        <w:rPr>
          <w:rFonts w:hint="eastAsia" w:ascii="仿宋" w:hAnsi="仿宋" w:eastAsia="仿宋" w:cs="宋体"/>
          <w:bCs/>
          <w:sz w:val="28"/>
          <w:szCs w:val="28"/>
          <w:lang w:eastAsia="zh-CN"/>
        </w:rPr>
        <w:t>项目主办处室可以选择</w:t>
      </w:r>
      <w:r>
        <w:rPr>
          <w:rFonts w:hint="eastAsia" w:ascii="仿宋" w:hAnsi="仿宋" w:eastAsia="仿宋" w:cs="宋体"/>
          <w:bCs/>
          <w:sz w:val="28"/>
          <w:szCs w:val="28"/>
          <w:lang w:val="en-US" w:eastAsia="zh-CN"/>
        </w:rPr>
        <w:t>本项目废标</w:t>
      </w:r>
      <w:r>
        <w:rPr>
          <w:rFonts w:hint="eastAsia" w:ascii="仿宋" w:hAnsi="仿宋" w:eastAsia="仿宋" w:cs="宋体"/>
          <w:bCs/>
          <w:sz w:val="28"/>
          <w:szCs w:val="28"/>
          <w:lang w:eastAsia="zh-CN"/>
        </w:rPr>
        <w:t>。</w:t>
      </w:r>
    </w:p>
    <w:p>
      <w:pPr>
        <w:spacing w:line="360" w:lineRule="auto"/>
        <w:rPr>
          <w:rFonts w:hint="eastAsia" w:ascii="仿宋" w:hAnsi="仿宋" w:eastAsia="仿宋" w:cs="宋体"/>
          <w:bCs/>
          <w:sz w:val="28"/>
          <w:szCs w:val="28"/>
        </w:rPr>
      </w:pPr>
      <w:r>
        <w:rPr>
          <w:rFonts w:hint="eastAsia" w:ascii="仿宋" w:hAnsi="仿宋" w:eastAsia="仿宋" w:cs="宋体"/>
          <w:bCs/>
          <w:sz w:val="28"/>
          <w:szCs w:val="28"/>
          <w:lang w:val="en-US" w:eastAsia="zh-CN"/>
        </w:rPr>
        <w:t>6</w:t>
      </w:r>
      <w:r>
        <w:rPr>
          <w:rFonts w:hint="eastAsia" w:ascii="仿宋" w:hAnsi="仿宋" w:eastAsia="仿宋" w:cs="宋体"/>
          <w:bCs/>
          <w:sz w:val="28"/>
          <w:szCs w:val="28"/>
        </w:rPr>
        <w:t>、成交供应商拒绝与采购人签订合同的，采购人可以按照评审报告推荐的成交候选人名单排序，确定下一候选人为成交供应商，也可以重新开展采购活动。</w:t>
      </w: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jc w:val="center"/>
        <w:rPr>
          <w:rFonts w:ascii="仿宋" w:hAnsi="仿宋" w:eastAsia="仿宋" w:cs="宋体"/>
          <w:b/>
          <w:bCs/>
          <w:sz w:val="32"/>
          <w:szCs w:val="28"/>
        </w:rPr>
      </w:pPr>
      <w:r>
        <w:rPr>
          <w:rFonts w:ascii="仿宋" w:hAnsi="仿宋" w:eastAsia="仿宋" w:cs="宋体"/>
          <w:b/>
          <w:bCs/>
          <w:sz w:val="32"/>
          <w:szCs w:val="28"/>
        </w:rPr>
        <w:t>评分标准</w:t>
      </w:r>
    </w:p>
    <w:tbl>
      <w:tblPr>
        <w:tblStyle w:val="10"/>
        <w:tblpPr w:leftFromText="180" w:rightFromText="180" w:vertAnchor="page" w:horzAnchor="page" w:tblpX="1878" w:tblpY="23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3"/>
        <w:gridCol w:w="1344"/>
        <w:gridCol w:w="4798"/>
        <w:gridCol w:w="1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1"/>
                <w:szCs w:val="21"/>
              </w:rPr>
            </w:pPr>
            <w:r>
              <w:rPr>
                <w:rFonts w:hint="eastAsia" w:ascii="仿宋" w:hAnsi="仿宋" w:eastAsia="仿宋" w:cs="宋体"/>
                <w:kern w:val="0"/>
                <w:sz w:val="21"/>
                <w:szCs w:val="21"/>
              </w:rPr>
              <w:t>内容</w:t>
            </w:r>
          </w:p>
        </w:tc>
        <w:tc>
          <w:tcPr>
            <w:tcW w:w="1344" w:type="dxa"/>
            <w:tcBorders>
              <w:top w:val="single" w:color="auto" w:sz="4" w:space="0"/>
              <w:left w:val="nil"/>
              <w:bottom w:val="nil"/>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评分因素分项</w:t>
            </w:r>
          </w:p>
        </w:tc>
        <w:tc>
          <w:tcPr>
            <w:tcW w:w="4798" w:type="dxa"/>
            <w:tcBorders>
              <w:top w:val="single" w:color="auto" w:sz="4" w:space="0"/>
              <w:left w:val="nil"/>
              <w:bottom w:val="nil"/>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评分标准</w:t>
            </w:r>
          </w:p>
        </w:tc>
        <w:tc>
          <w:tcPr>
            <w:tcW w:w="138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03" w:type="dxa"/>
            <w:tcBorders>
              <w:top w:val="nil"/>
              <w:left w:val="single" w:color="auto" w:sz="4" w:space="0"/>
              <w:bottom w:val="single" w:color="auto" w:sz="4" w:space="0"/>
              <w:right w:val="nil"/>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价格部分（10分）</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价格（10分）</w:t>
            </w:r>
          </w:p>
        </w:tc>
        <w:tc>
          <w:tcPr>
            <w:tcW w:w="4798" w:type="dxa"/>
            <w:tcBorders>
              <w:top w:val="single" w:color="auto" w:sz="4" w:space="0"/>
              <w:left w:val="nil"/>
              <w:bottom w:val="single" w:color="auto" w:sz="4" w:space="0"/>
              <w:right w:val="single" w:color="auto" w:sz="4" w:space="0"/>
            </w:tcBorders>
            <w:vAlign w:val="center"/>
          </w:tcPr>
          <w:p>
            <w:pPr>
              <w:widowControl/>
              <w:rPr>
                <w:rFonts w:hint="eastAsia" w:ascii="仿宋" w:hAnsi="仿宋" w:eastAsia="仿宋" w:cs="宋体"/>
                <w:kern w:val="0"/>
                <w:sz w:val="18"/>
                <w:szCs w:val="18"/>
              </w:rPr>
            </w:pPr>
            <w:r>
              <w:rPr>
                <w:rFonts w:hint="eastAsia" w:ascii="仿宋" w:hAnsi="仿宋" w:eastAsia="仿宋" w:cs="宋体"/>
                <w:kern w:val="0"/>
                <w:sz w:val="18"/>
                <w:szCs w:val="18"/>
              </w:rPr>
              <w:t>报价得分=（评审基准价/报价）×价格权值10</w:t>
            </w:r>
          </w:p>
          <w:p>
            <w:pPr>
              <w:widowControl/>
              <w:rPr>
                <w:rFonts w:hint="eastAsia" w:ascii="仿宋" w:hAnsi="仿宋" w:eastAsia="仿宋" w:cs="宋体"/>
                <w:kern w:val="0"/>
                <w:sz w:val="18"/>
                <w:szCs w:val="18"/>
              </w:rPr>
            </w:pPr>
            <w:r>
              <w:rPr>
                <w:rFonts w:hint="eastAsia" w:ascii="仿宋" w:hAnsi="仿宋" w:eastAsia="仿宋" w:cs="宋体"/>
                <w:kern w:val="0"/>
                <w:sz w:val="18"/>
                <w:szCs w:val="18"/>
              </w:rPr>
              <w:t>注：实质性响应遴选文件要求且价格最低的报价为评审基准价。</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0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商务</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w:t>
            </w:r>
            <w:r>
              <w:rPr>
                <w:rFonts w:hint="eastAsia" w:ascii="仿宋" w:hAnsi="仿宋" w:eastAsia="仿宋" w:cs="宋体"/>
                <w:kern w:val="0"/>
                <w:sz w:val="18"/>
                <w:szCs w:val="18"/>
                <w:lang w:val="en-US" w:eastAsia="zh-CN"/>
              </w:rPr>
              <w:t>0</w:t>
            </w:r>
            <w:r>
              <w:rPr>
                <w:rFonts w:hint="eastAsia" w:ascii="仿宋" w:hAnsi="仿宋" w:eastAsia="仿宋" w:cs="宋体"/>
                <w:kern w:val="0"/>
                <w:sz w:val="18"/>
                <w:szCs w:val="18"/>
              </w:rPr>
              <w:t>分）</w:t>
            </w: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供应商基本情况</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熟悉医疗卫生</w:t>
            </w:r>
            <w:r>
              <w:rPr>
                <w:rFonts w:hint="eastAsia" w:ascii="仿宋" w:hAnsi="仿宋" w:eastAsia="仿宋" w:cs="宋体"/>
                <w:kern w:val="0"/>
                <w:sz w:val="18"/>
                <w:szCs w:val="18"/>
                <w:lang w:eastAsia="zh-CN"/>
              </w:rPr>
              <w:t>专业技术人员培训培养</w:t>
            </w:r>
            <w:r>
              <w:rPr>
                <w:rFonts w:hint="eastAsia" w:ascii="仿宋" w:hAnsi="仿宋" w:eastAsia="仿宋" w:cs="宋体"/>
                <w:kern w:val="0"/>
                <w:sz w:val="18"/>
                <w:szCs w:val="18"/>
              </w:rPr>
              <w:t>工作。（横向比较，最优得</w:t>
            </w:r>
            <w:r>
              <w:rPr>
                <w:rFonts w:hint="eastAsia" w:ascii="仿宋" w:hAnsi="仿宋" w:eastAsia="仿宋" w:cs="宋体"/>
                <w:kern w:val="0"/>
                <w:sz w:val="18"/>
                <w:szCs w:val="18"/>
                <w:lang w:val="en-US" w:eastAsia="zh-CN"/>
              </w:rPr>
              <w:t>5</w:t>
            </w:r>
            <w:r>
              <w:rPr>
                <w:rFonts w:hint="eastAsia" w:ascii="仿宋" w:hAnsi="仿宋" w:eastAsia="仿宋" w:cs="宋体"/>
                <w:kern w:val="0"/>
                <w:sz w:val="18"/>
                <w:szCs w:val="18"/>
              </w:rPr>
              <w:t>分、一般得</w:t>
            </w:r>
            <w:r>
              <w:rPr>
                <w:rFonts w:hint="eastAsia" w:ascii="仿宋" w:hAnsi="仿宋" w:eastAsia="仿宋" w:cs="宋体"/>
                <w:kern w:val="0"/>
                <w:sz w:val="18"/>
                <w:szCs w:val="18"/>
                <w:lang w:val="en-US" w:eastAsia="zh-CN"/>
              </w:rPr>
              <w:t>3</w:t>
            </w:r>
            <w:r>
              <w:rPr>
                <w:rFonts w:hint="eastAsia" w:ascii="仿宋" w:hAnsi="仿宋" w:eastAsia="仿宋" w:cs="宋体"/>
                <w:kern w:val="0"/>
                <w:sz w:val="18"/>
                <w:szCs w:val="18"/>
              </w:rPr>
              <w:t>分、较差得0分）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供应商的业绩</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供应商近</w:t>
            </w:r>
            <w:r>
              <w:rPr>
                <w:rFonts w:hint="eastAsia" w:ascii="仿宋" w:hAnsi="仿宋" w:eastAsia="仿宋" w:cs="宋体"/>
                <w:color w:val="000000"/>
                <w:kern w:val="0"/>
                <w:sz w:val="18"/>
                <w:szCs w:val="18"/>
                <w:lang w:val="en-US" w:eastAsia="zh-CN"/>
              </w:rPr>
              <w:t>3</w:t>
            </w:r>
            <w:r>
              <w:rPr>
                <w:rFonts w:hint="eastAsia" w:ascii="仿宋" w:hAnsi="仿宋" w:eastAsia="仿宋" w:cs="宋体"/>
                <w:color w:val="000000"/>
                <w:kern w:val="0"/>
                <w:sz w:val="18"/>
                <w:szCs w:val="18"/>
              </w:rPr>
              <w:t>年来从事医疗卫生</w:t>
            </w:r>
            <w:r>
              <w:rPr>
                <w:rFonts w:hint="eastAsia" w:ascii="仿宋" w:hAnsi="仿宋" w:eastAsia="仿宋" w:cs="宋体"/>
                <w:color w:val="000000"/>
                <w:kern w:val="0"/>
                <w:sz w:val="18"/>
                <w:szCs w:val="18"/>
                <w:lang w:eastAsia="zh-CN"/>
              </w:rPr>
              <w:t>专业技术人员培训培养</w:t>
            </w:r>
            <w:r>
              <w:rPr>
                <w:rFonts w:hint="eastAsia" w:ascii="仿宋" w:hAnsi="仿宋" w:eastAsia="仿宋" w:cs="宋体"/>
                <w:color w:val="000000"/>
                <w:kern w:val="0"/>
                <w:sz w:val="18"/>
                <w:szCs w:val="18"/>
              </w:rPr>
              <w:t>工作情况。每提供1份业绩得3分，最多15分（业绩需符合本次遴选项目内容）。</w:t>
            </w:r>
          </w:p>
        </w:tc>
        <w:tc>
          <w:tcPr>
            <w:tcW w:w="1383"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技术</w:t>
            </w:r>
            <w:r>
              <w:rPr>
                <w:rFonts w:hint="eastAsia" w:ascii="仿宋" w:hAnsi="仿宋" w:eastAsia="仿宋" w:cs="宋体"/>
                <w:kern w:val="0"/>
                <w:sz w:val="18"/>
                <w:szCs w:val="18"/>
              </w:rPr>
              <w:br w:type="textWrapping"/>
            </w:r>
            <w:r>
              <w:rPr>
                <w:rFonts w:hint="eastAsia" w:ascii="仿宋" w:hAnsi="仿宋" w:eastAsia="仿宋" w:cs="宋体"/>
                <w:kern w:val="0"/>
                <w:sz w:val="18"/>
                <w:szCs w:val="18"/>
              </w:rPr>
              <w:t>（</w:t>
            </w:r>
            <w:r>
              <w:rPr>
                <w:rFonts w:hint="eastAsia" w:ascii="仿宋" w:hAnsi="仿宋" w:eastAsia="仿宋" w:cs="宋体"/>
                <w:kern w:val="0"/>
                <w:sz w:val="18"/>
                <w:szCs w:val="18"/>
                <w:lang w:val="en-US" w:eastAsia="zh-CN"/>
              </w:rPr>
              <w:t>70</w:t>
            </w:r>
            <w:r>
              <w:rPr>
                <w:rFonts w:hint="eastAsia" w:ascii="仿宋" w:hAnsi="仿宋" w:eastAsia="仿宋" w:cs="宋体"/>
                <w:kern w:val="0"/>
                <w:sz w:val="18"/>
                <w:szCs w:val="18"/>
              </w:rPr>
              <w:t>分）</w:t>
            </w: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项目方案</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项目实施方案编制思路清晰、目标明确、条理严谨，实施方案对项目结果的最终实现具有良好的支撑性、衔接性，符合遴选工作任务要求，预期成果及技术路线完备。优秀的得3</w:t>
            </w:r>
            <w:r>
              <w:rPr>
                <w:rFonts w:hint="eastAsia" w:ascii="仿宋" w:hAnsi="仿宋" w:eastAsia="仿宋" w:cs="宋体"/>
                <w:color w:val="000000"/>
                <w:kern w:val="0"/>
                <w:sz w:val="18"/>
                <w:szCs w:val="18"/>
                <w:lang w:val="en-US" w:eastAsia="zh-CN"/>
              </w:rPr>
              <w:t>0-21</w:t>
            </w:r>
            <w:r>
              <w:rPr>
                <w:rFonts w:hint="eastAsia" w:ascii="仿宋" w:hAnsi="仿宋" w:eastAsia="仿宋" w:cs="宋体"/>
                <w:color w:val="000000"/>
                <w:kern w:val="0"/>
                <w:sz w:val="18"/>
                <w:szCs w:val="18"/>
              </w:rPr>
              <w:t>分；良好的得</w:t>
            </w:r>
            <w:r>
              <w:rPr>
                <w:rFonts w:hint="eastAsia" w:ascii="仿宋" w:hAnsi="仿宋" w:eastAsia="仿宋" w:cs="宋体"/>
                <w:color w:val="000000"/>
                <w:kern w:val="0"/>
                <w:sz w:val="18"/>
                <w:szCs w:val="18"/>
                <w:lang w:val="en-US" w:eastAsia="zh-CN"/>
              </w:rPr>
              <w:t>21-11</w:t>
            </w:r>
            <w:r>
              <w:rPr>
                <w:rFonts w:hint="eastAsia" w:ascii="仿宋" w:hAnsi="仿宋" w:eastAsia="仿宋" w:cs="宋体"/>
                <w:color w:val="000000"/>
                <w:kern w:val="0"/>
                <w:sz w:val="18"/>
                <w:szCs w:val="18"/>
              </w:rPr>
              <w:t>分；一般的得</w:t>
            </w:r>
            <w:r>
              <w:rPr>
                <w:rFonts w:hint="eastAsia" w:ascii="仿宋" w:hAnsi="仿宋" w:eastAsia="仿宋" w:cs="宋体"/>
                <w:color w:val="000000"/>
                <w:kern w:val="0"/>
                <w:sz w:val="18"/>
                <w:szCs w:val="18"/>
                <w:lang w:val="en-US" w:eastAsia="zh-CN"/>
              </w:rPr>
              <w:t>11-6</w:t>
            </w:r>
            <w:r>
              <w:rPr>
                <w:rFonts w:hint="eastAsia" w:ascii="仿宋" w:hAnsi="仿宋" w:eastAsia="仿宋" w:cs="宋体"/>
                <w:color w:val="000000"/>
                <w:kern w:val="0"/>
                <w:sz w:val="18"/>
                <w:szCs w:val="18"/>
              </w:rPr>
              <w:t>分；较差</w:t>
            </w:r>
            <w:r>
              <w:rPr>
                <w:rFonts w:hint="eastAsia" w:ascii="仿宋" w:hAnsi="仿宋" w:eastAsia="仿宋" w:cs="宋体"/>
                <w:color w:val="000000"/>
                <w:kern w:val="0"/>
                <w:sz w:val="18"/>
                <w:szCs w:val="18"/>
                <w:lang w:eastAsia="zh-CN"/>
              </w:rPr>
              <w:t>得</w:t>
            </w:r>
            <w:r>
              <w:rPr>
                <w:rFonts w:hint="eastAsia" w:ascii="仿宋" w:hAnsi="仿宋" w:eastAsia="仿宋" w:cs="宋体"/>
                <w:color w:val="000000"/>
                <w:kern w:val="0"/>
                <w:sz w:val="18"/>
                <w:szCs w:val="18"/>
                <w:lang w:val="en-US" w:eastAsia="zh-CN"/>
              </w:rPr>
              <w:t>6-</w:t>
            </w:r>
            <w:r>
              <w:rPr>
                <w:rFonts w:hint="eastAsia" w:ascii="仿宋" w:hAnsi="仿宋" w:eastAsia="仿宋" w:cs="宋体"/>
                <w:color w:val="000000"/>
                <w:kern w:val="0"/>
                <w:sz w:val="18"/>
                <w:szCs w:val="18"/>
              </w:rPr>
              <w:t>0分。</w:t>
            </w:r>
          </w:p>
        </w:tc>
        <w:tc>
          <w:tcPr>
            <w:tcW w:w="1383"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rPr>
              <w:t>项目人员配备</w:t>
            </w:r>
            <w:r>
              <w:rPr>
                <w:rFonts w:hint="eastAsia" w:ascii="仿宋" w:hAnsi="仿宋" w:eastAsia="仿宋" w:cs="宋体"/>
                <w:kern w:val="0"/>
                <w:sz w:val="18"/>
                <w:szCs w:val="18"/>
                <w:lang w:eastAsia="zh-CN"/>
              </w:rPr>
              <w:t>方案</w:t>
            </w:r>
          </w:p>
        </w:tc>
        <w:tc>
          <w:tcPr>
            <w:tcW w:w="4798" w:type="dxa"/>
            <w:tcBorders>
              <w:top w:val="nil"/>
              <w:left w:val="nil"/>
              <w:bottom w:val="single" w:color="auto" w:sz="4" w:space="0"/>
              <w:right w:val="single" w:color="auto" w:sz="4" w:space="0"/>
            </w:tcBorders>
            <w:vAlign w:val="center"/>
          </w:tcPr>
          <w:p>
            <w:pPr>
              <w:widowControl/>
              <w:numPr>
                <w:ilvl w:val="0"/>
                <w:numId w:val="1"/>
              </w:numPr>
              <w:rPr>
                <w:rFonts w:hint="eastAsia" w:ascii="仿宋" w:hAnsi="仿宋" w:eastAsia="仿宋" w:cs="宋体"/>
                <w:kern w:val="0"/>
                <w:sz w:val="18"/>
                <w:szCs w:val="18"/>
                <w:lang w:val="en-US" w:eastAsia="zh-CN"/>
              </w:rPr>
            </w:pPr>
            <w:r>
              <w:rPr>
                <w:rFonts w:hint="eastAsia" w:ascii="仿宋" w:hAnsi="仿宋" w:eastAsia="仿宋" w:cs="宋体"/>
                <w:kern w:val="0"/>
                <w:sz w:val="18"/>
                <w:szCs w:val="18"/>
              </w:rPr>
              <w:t>拟投入本项目负责人</w:t>
            </w:r>
            <w:r>
              <w:rPr>
                <w:rFonts w:hint="eastAsia" w:ascii="仿宋" w:hAnsi="仿宋" w:eastAsia="仿宋" w:cs="宋体"/>
                <w:kern w:val="0"/>
                <w:sz w:val="18"/>
                <w:szCs w:val="18"/>
                <w:lang w:eastAsia="zh-CN"/>
              </w:rPr>
              <w:t>应为副主任医师以上职称（</w:t>
            </w:r>
            <w:r>
              <w:rPr>
                <w:rFonts w:hint="eastAsia" w:ascii="仿宋" w:hAnsi="仿宋" w:eastAsia="仿宋" w:cs="宋体"/>
                <w:kern w:val="0"/>
                <w:sz w:val="18"/>
                <w:szCs w:val="18"/>
                <w:lang w:val="en-US" w:eastAsia="zh-CN"/>
              </w:rPr>
              <w:t>3分</w:t>
            </w:r>
            <w:r>
              <w:rPr>
                <w:rFonts w:hint="eastAsia" w:ascii="仿宋" w:hAnsi="仿宋" w:eastAsia="仿宋" w:cs="宋体"/>
                <w:kern w:val="0"/>
                <w:sz w:val="18"/>
                <w:szCs w:val="18"/>
                <w:lang w:eastAsia="zh-CN"/>
              </w:rPr>
              <w:t>），职称符合要求</w:t>
            </w:r>
            <w:r>
              <w:rPr>
                <w:rFonts w:hint="eastAsia" w:ascii="仿宋" w:hAnsi="仿宋" w:eastAsia="仿宋" w:cs="宋体"/>
                <w:kern w:val="0"/>
                <w:sz w:val="18"/>
                <w:szCs w:val="18"/>
              </w:rPr>
              <w:t>得</w:t>
            </w:r>
            <w:r>
              <w:rPr>
                <w:rFonts w:hint="eastAsia" w:ascii="仿宋" w:hAnsi="仿宋" w:eastAsia="仿宋" w:cs="宋体"/>
                <w:kern w:val="0"/>
                <w:sz w:val="18"/>
                <w:szCs w:val="18"/>
                <w:lang w:val="en-US" w:eastAsia="zh-CN"/>
              </w:rPr>
              <w:t>3</w:t>
            </w:r>
            <w:r>
              <w:rPr>
                <w:rFonts w:hint="eastAsia" w:ascii="仿宋" w:hAnsi="仿宋" w:eastAsia="仿宋" w:cs="宋体"/>
                <w:kern w:val="0"/>
                <w:sz w:val="18"/>
                <w:szCs w:val="18"/>
              </w:rPr>
              <w:t>分，</w:t>
            </w:r>
            <w:r>
              <w:rPr>
                <w:rFonts w:hint="eastAsia" w:ascii="仿宋" w:hAnsi="仿宋" w:eastAsia="仿宋" w:cs="宋体"/>
                <w:kern w:val="0"/>
                <w:sz w:val="18"/>
                <w:szCs w:val="18"/>
                <w:lang w:eastAsia="zh-CN"/>
              </w:rPr>
              <w:t>不符合得</w:t>
            </w:r>
            <w:r>
              <w:rPr>
                <w:rFonts w:hint="eastAsia" w:ascii="仿宋" w:hAnsi="仿宋" w:eastAsia="仿宋" w:cs="宋体"/>
                <w:kern w:val="0"/>
                <w:sz w:val="18"/>
                <w:szCs w:val="18"/>
                <w:lang w:val="en-US" w:eastAsia="zh-CN"/>
              </w:rPr>
              <w:t>0分。</w:t>
            </w:r>
            <w:r>
              <w:rPr>
                <w:rFonts w:hint="eastAsia" w:ascii="仿宋" w:hAnsi="仿宋" w:eastAsia="仿宋" w:cs="宋体"/>
                <w:kern w:val="0"/>
                <w:sz w:val="18"/>
                <w:szCs w:val="18"/>
              </w:rPr>
              <w:t>20</w:t>
            </w:r>
            <w:r>
              <w:rPr>
                <w:rFonts w:hint="eastAsia" w:ascii="仿宋" w:hAnsi="仿宋" w:eastAsia="仿宋" w:cs="宋体"/>
                <w:kern w:val="0"/>
                <w:sz w:val="18"/>
                <w:szCs w:val="18"/>
                <w:lang w:val="en-US" w:eastAsia="zh-CN"/>
              </w:rPr>
              <w:t>22</w:t>
            </w:r>
            <w:r>
              <w:rPr>
                <w:rFonts w:hint="eastAsia" w:ascii="仿宋" w:hAnsi="仿宋" w:eastAsia="仿宋" w:cs="宋体"/>
                <w:kern w:val="0"/>
                <w:sz w:val="18"/>
                <w:szCs w:val="18"/>
              </w:rPr>
              <w:t>-202</w:t>
            </w:r>
            <w:r>
              <w:rPr>
                <w:rFonts w:hint="eastAsia" w:ascii="仿宋" w:hAnsi="仿宋" w:eastAsia="仿宋" w:cs="宋体"/>
                <w:kern w:val="0"/>
                <w:sz w:val="18"/>
                <w:szCs w:val="18"/>
                <w:lang w:val="en-US" w:eastAsia="zh-CN"/>
              </w:rPr>
              <w:t>4</w:t>
            </w:r>
            <w:r>
              <w:rPr>
                <w:rFonts w:hint="eastAsia" w:ascii="仿宋" w:hAnsi="仿宋" w:eastAsia="仿宋" w:cs="宋体"/>
                <w:kern w:val="0"/>
                <w:sz w:val="18"/>
                <w:szCs w:val="18"/>
              </w:rPr>
              <w:t>年承担</w:t>
            </w:r>
            <w:r>
              <w:rPr>
                <w:rFonts w:hint="eastAsia" w:ascii="仿宋" w:hAnsi="仿宋" w:eastAsia="仿宋" w:cs="宋体"/>
                <w:kern w:val="0"/>
                <w:sz w:val="18"/>
                <w:szCs w:val="18"/>
                <w:lang w:eastAsia="zh-CN"/>
              </w:rPr>
              <w:t>过</w:t>
            </w:r>
            <w:r>
              <w:rPr>
                <w:rFonts w:hint="eastAsia" w:ascii="仿宋" w:hAnsi="仿宋" w:eastAsia="仿宋" w:cs="宋体"/>
                <w:kern w:val="0"/>
                <w:sz w:val="18"/>
                <w:szCs w:val="18"/>
              </w:rPr>
              <w:t>医疗卫生</w:t>
            </w:r>
            <w:r>
              <w:rPr>
                <w:rFonts w:hint="eastAsia" w:ascii="仿宋" w:hAnsi="仿宋" w:eastAsia="仿宋" w:cs="宋体"/>
                <w:kern w:val="0"/>
                <w:sz w:val="18"/>
                <w:szCs w:val="18"/>
                <w:lang w:eastAsia="zh-CN"/>
              </w:rPr>
              <w:t>专业技术人员培训培养</w:t>
            </w:r>
            <w:r>
              <w:rPr>
                <w:rFonts w:hint="eastAsia" w:ascii="仿宋" w:hAnsi="仿宋" w:eastAsia="仿宋" w:cs="宋体"/>
                <w:kern w:val="0"/>
                <w:sz w:val="18"/>
                <w:szCs w:val="18"/>
              </w:rPr>
              <w:t>工作</w:t>
            </w:r>
            <w:r>
              <w:rPr>
                <w:rFonts w:hint="eastAsia" w:ascii="仿宋" w:hAnsi="仿宋" w:eastAsia="仿宋" w:cs="宋体"/>
                <w:kern w:val="0"/>
                <w:sz w:val="18"/>
                <w:szCs w:val="18"/>
                <w:lang w:eastAsia="zh-CN"/>
              </w:rPr>
              <w:t>（</w:t>
            </w:r>
            <w:r>
              <w:rPr>
                <w:rFonts w:hint="eastAsia" w:ascii="仿宋" w:hAnsi="仿宋" w:eastAsia="仿宋" w:cs="宋体"/>
                <w:kern w:val="0"/>
                <w:sz w:val="18"/>
                <w:szCs w:val="18"/>
                <w:lang w:val="en-US" w:eastAsia="zh-CN"/>
              </w:rPr>
              <w:t>3分</w:t>
            </w:r>
            <w:r>
              <w:rPr>
                <w:rFonts w:hint="eastAsia" w:ascii="仿宋" w:hAnsi="仿宋" w:eastAsia="仿宋" w:cs="宋体"/>
                <w:kern w:val="0"/>
                <w:sz w:val="18"/>
                <w:szCs w:val="18"/>
                <w:lang w:eastAsia="zh-CN"/>
              </w:rPr>
              <w:t>）</w:t>
            </w:r>
            <w:r>
              <w:rPr>
                <w:rFonts w:hint="eastAsia" w:ascii="仿宋" w:hAnsi="仿宋" w:eastAsia="仿宋" w:cs="宋体"/>
                <w:kern w:val="0"/>
                <w:sz w:val="18"/>
                <w:szCs w:val="18"/>
              </w:rPr>
              <w:t>。</w:t>
            </w:r>
            <w:r>
              <w:rPr>
                <w:rFonts w:hint="eastAsia" w:ascii="仿宋" w:hAnsi="仿宋" w:eastAsia="仿宋" w:cs="宋体"/>
                <w:kern w:val="0"/>
                <w:sz w:val="18"/>
                <w:szCs w:val="18"/>
              </w:rPr>
              <w:t>承担</w:t>
            </w:r>
            <w:r>
              <w:rPr>
                <w:rFonts w:hint="eastAsia" w:ascii="仿宋" w:hAnsi="仿宋" w:eastAsia="仿宋" w:cs="宋体"/>
                <w:kern w:val="0"/>
                <w:sz w:val="18"/>
                <w:szCs w:val="18"/>
                <w:lang w:eastAsia="zh-CN"/>
              </w:rPr>
              <w:t>过</w:t>
            </w:r>
            <w:r>
              <w:rPr>
                <w:rFonts w:hint="eastAsia" w:ascii="仿宋" w:hAnsi="仿宋" w:eastAsia="仿宋" w:cs="宋体"/>
                <w:kern w:val="0"/>
                <w:sz w:val="18"/>
                <w:szCs w:val="18"/>
              </w:rPr>
              <w:t>医疗卫生</w:t>
            </w:r>
            <w:r>
              <w:rPr>
                <w:rFonts w:hint="eastAsia" w:ascii="仿宋" w:hAnsi="仿宋" w:eastAsia="仿宋" w:cs="宋体"/>
                <w:kern w:val="0"/>
                <w:sz w:val="18"/>
                <w:szCs w:val="18"/>
                <w:lang w:eastAsia="zh-CN"/>
              </w:rPr>
              <w:t>专业技术人员培训培养</w:t>
            </w:r>
            <w:r>
              <w:rPr>
                <w:rFonts w:hint="eastAsia" w:ascii="仿宋" w:hAnsi="仿宋" w:eastAsia="仿宋" w:cs="宋体"/>
                <w:kern w:val="0"/>
                <w:sz w:val="18"/>
                <w:szCs w:val="18"/>
              </w:rPr>
              <w:t>工作得</w:t>
            </w:r>
            <w:r>
              <w:rPr>
                <w:rFonts w:hint="eastAsia" w:ascii="仿宋" w:hAnsi="仿宋" w:eastAsia="仿宋" w:cs="宋体"/>
                <w:kern w:val="0"/>
                <w:sz w:val="18"/>
                <w:szCs w:val="18"/>
                <w:lang w:val="en-US" w:eastAsia="zh-CN"/>
              </w:rPr>
              <w:t>3</w:t>
            </w:r>
            <w:r>
              <w:rPr>
                <w:rFonts w:hint="eastAsia" w:ascii="仿宋" w:hAnsi="仿宋" w:eastAsia="仿宋" w:cs="宋体"/>
                <w:kern w:val="0"/>
                <w:sz w:val="18"/>
                <w:szCs w:val="18"/>
              </w:rPr>
              <w:t>分（需提供参与该项目的相关证明材料）</w:t>
            </w:r>
            <w:r>
              <w:rPr>
                <w:rFonts w:hint="eastAsia" w:ascii="仿宋" w:hAnsi="仿宋" w:eastAsia="仿宋" w:cs="宋体"/>
                <w:kern w:val="0"/>
                <w:sz w:val="18"/>
                <w:szCs w:val="18"/>
                <w:lang w:val="en-US" w:eastAsia="zh-CN"/>
              </w:rPr>
              <w:t>,未承担过得0分。</w:t>
            </w:r>
          </w:p>
          <w:p>
            <w:pPr>
              <w:widowControl/>
              <w:numPr>
                <w:ilvl w:val="0"/>
                <w:numId w:val="1"/>
              </w:numPr>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拟投入本项目团队主要成员情况及参与过相关项目的资料，需提供人员名册，必须保证后续参与该项工作。（横向比较，最优得9分、较好得6分、一般得3分、较差得0分）</w:t>
            </w:r>
          </w:p>
        </w:tc>
        <w:tc>
          <w:tcPr>
            <w:tcW w:w="1383"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质量保证措施</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供应商质量管理体系健全，技术支持有保障，人员安排合理，能够在服务期内高质量完成合同要求。优秀的，得15分；良好的，得10分；一般的，得5分；较差的，得0分（需提供</w:t>
            </w:r>
            <w:r>
              <w:rPr>
                <w:rFonts w:hint="eastAsia" w:ascii="仿宋" w:hAnsi="仿宋" w:eastAsia="仿宋" w:cs="宋体"/>
                <w:color w:val="000000"/>
                <w:kern w:val="0"/>
                <w:sz w:val="18"/>
                <w:szCs w:val="18"/>
                <w:lang w:val="en-US" w:eastAsia="zh-CN"/>
              </w:rPr>
              <w:t>2022</w:t>
            </w:r>
            <w:bookmarkStart w:id="0" w:name="_GoBack"/>
            <w:bookmarkEnd w:id="0"/>
            <w:r>
              <w:rPr>
                <w:rFonts w:hint="eastAsia" w:ascii="仿宋" w:hAnsi="仿宋" w:eastAsia="仿宋" w:cs="宋体"/>
                <w:color w:val="000000"/>
                <w:kern w:val="0"/>
                <w:sz w:val="18"/>
                <w:szCs w:val="18"/>
                <w:lang w:val="en-US" w:eastAsia="zh-CN"/>
              </w:rPr>
              <w:t>年以后的质量管理</w:t>
            </w:r>
            <w:r>
              <w:rPr>
                <w:rFonts w:hint="eastAsia" w:ascii="仿宋" w:hAnsi="仿宋" w:eastAsia="仿宋" w:cs="宋体"/>
                <w:color w:val="000000"/>
                <w:kern w:val="0"/>
                <w:sz w:val="18"/>
                <w:szCs w:val="18"/>
              </w:rPr>
              <w:t>相关证明材料）。</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服务承诺</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Times New Roman"/>
                <w:kern w:val="0"/>
                <w:sz w:val="18"/>
                <w:szCs w:val="18"/>
              </w:rPr>
            </w:pPr>
            <w:r>
              <w:rPr>
                <w:rFonts w:hint="eastAsia" w:ascii="仿宋" w:hAnsi="仿宋" w:eastAsia="仿宋" w:cs="Times New Roman"/>
                <w:kern w:val="0"/>
                <w:sz w:val="18"/>
                <w:szCs w:val="18"/>
              </w:rPr>
              <w:t>供应商须提供沟通机制，内容包括①服务人员安排②沟通方案，要求有专人定期沟通，配合。优秀的，得</w:t>
            </w:r>
            <w:r>
              <w:rPr>
                <w:rFonts w:hint="eastAsia" w:ascii="仿宋" w:hAnsi="仿宋" w:eastAsia="仿宋" w:cs="Times New Roman"/>
                <w:kern w:val="0"/>
                <w:sz w:val="18"/>
                <w:szCs w:val="18"/>
                <w:lang w:val="en-US" w:eastAsia="zh-CN"/>
              </w:rPr>
              <w:t>10</w:t>
            </w:r>
            <w:r>
              <w:rPr>
                <w:rFonts w:hint="eastAsia" w:ascii="仿宋" w:hAnsi="仿宋" w:eastAsia="仿宋" w:cs="Times New Roman"/>
                <w:kern w:val="0"/>
                <w:sz w:val="18"/>
                <w:szCs w:val="18"/>
              </w:rPr>
              <w:t>分；良好的，得</w:t>
            </w:r>
            <w:r>
              <w:rPr>
                <w:rFonts w:hint="eastAsia" w:ascii="仿宋" w:hAnsi="仿宋" w:eastAsia="仿宋" w:cs="Times New Roman"/>
                <w:kern w:val="0"/>
                <w:sz w:val="18"/>
                <w:szCs w:val="18"/>
                <w:lang w:val="en-US" w:eastAsia="zh-CN"/>
              </w:rPr>
              <w:t>7</w:t>
            </w:r>
            <w:r>
              <w:rPr>
                <w:rFonts w:hint="eastAsia" w:ascii="仿宋" w:hAnsi="仿宋" w:eastAsia="仿宋" w:cs="Times New Roman"/>
                <w:kern w:val="0"/>
                <w:sz w:val="18"/>
                <w:szCs w:val="18"/>
              </w:rPr>
              <w:t>分；一般的，得</w:t>
            </w:r>
            <w:r>
              <w:rPr>
                <w:rFonts w:hint="eastAsia" w:ascii="仿宋" w:hAnsi="仿宋" w:eastAsia="仿宋" w:cs="Times New Roman"/>
                <w:kern w:val="0"/>
                <w:sz w:val="18"/>
                <w:szCs w:val="18"/>
                <w:lang w:val="en-US" w:eastAsia="zh-CN"/>
              </w:rPr>
              <w:t>4</w:t>
            </w:r>
            <w:r>
              <w:rPr>
                <w:rFonts w:hint="eastAsia" w:ascii="仿宋" w:hAnsi="仿宋" w:eastAsia="仿宋" w:cs="Times New Roman"/>
                <w:kern w:val="0"/>
                <w:sz w:val="18"/>
                <w:szCs w:val="18"/>
              </w:rPr>
              <w:t>分；较差的，得0分。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7145"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总分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w:t>
            </w:r>
          </w:p>
        </w:tc>
      </w:tr>
    </w:tbl>
    <w:p>
      <w:pPr>
        <w:widowControl/>
        <w:jc w:val="left"/>
        <w:rPr>
          <w:rFonts w:ascii="仿宋" w:hAnsi="仿宋" w:eastAsia="仿宋" w:cs="宋体"/>
          <w:bCs/>
          <w:sz w:val="28"/>
          <w:szCs w:val="28"/>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FB247"/>
    <w:multiLevelType w:val="singleLevel"/>
    <w:tmpl w:val="FD7FB2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jY5ODU0NjQ5ZjQ0NWEwM2Y5NDA5NmM4Y2MzMWMxZTYifQ=="/>
  </w:docVars>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28BA4A28"/>
    <w:rsid w:val="2A021EEC"/>
    <w:rsid w:val="473506D4"/>
    <w:rsid w:val="563413EE"/>
    <w:rsid w:val="68A51AEC"/>
    <w:rsid w:val="6DDFA896"/>
    <w:rsid w:val="7834054B"/>
    <w:rsid w:val="DFBA1A89"/>
    <w:rsid w:val="FFAF42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iPriority="0"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ody Text Indent"/>
    <w:basedOn w:val="1"/>
    <w:semiHidden/>
    <w:unhideWhenUsed/>
    <w:qFormat/>
    <w:uiPriority w:val="99"/>
    <w:pPr>
      <w:spacing w:after="120"/>
      <w:ind w:left="420" w:leftChars="200"/>
    </w:pPr>
  </w:style>
  <w:style w:type="paragraph" w:styleId="4">
    <w:name w:val="Balloon Text"/>
    <w:basedOn w:val="1"/>
    <w:link w:val="19"/>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envelope return"/>
    <w:basedOn w:val="1"/>
    <w:unhideWhenUsed/>
    <w:qFormat/>
    <w:uiPriority w:val="0"/>
    <w:pPr>
      <w:snapToGrid w:val="0"/>
    </w:pPr>
    <w:rPr>
      <w:rFonts w:ascii="Arial" w:hAnsi="Arial"/>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8"/>
    <w:unhideWhenUsed/>
    <w:qFormat/>
    <w:uiPriority w:val="99"/>
    <w:rPr>
      <w:b/>
      <w:bCs/>
    </w:rPr>
  </w:style>
  <w:style w:type="paragraph" w:styleId="9">
    <w:name w:val="Body Text First Indent 2"/>
    <w:basedOn w:val="3"/>
    <w:next w:val="1"/>
    <w:qFormat/>
    <w:uiPriority w:val="0"/>
    <w:pPr>
      <w:ind w:firstLine="420" w:firstLineChars="200"/>
    </w:pPr>
    <w:rPr>
      <w:rFonts w:ascii="Calibri" w:hAnsi="Calibri"/>
    </w:rPr>
  </w:style>
  <w:style w:type="character" w:styleId="12">
    <w:name w:val="annotation reference"/>
    <w:basedOn w:val="11"/>
    <w:unhideWhenUsed/>
    <w:qFormat/>
    <w:uiPriority w:val="99"/>
    <w:rPr>
      <w:sz w:val="21"/>
      <w:szCs w:val="21"/>
    </w:rPr>
  </w:style>
  <w:style w:type="paragraph" w:customStyle="1" w:styleId="13">
    <w:name w:val="List Paragraph"/>
    <w:basedOn w:val="1"/>
    <w:link w:val="16"/>
    <w:qFormat/>
    <w:uiPriority w:val="34"/>
    <w:pPr>
      <w:ind w:firstLine="420" w:firstLineChars="200"/>
    </w:pPr>
    <w:rPr>
      <w:rFonts w:ascii="Calibri" w:hAnsi="Calibri"/>
    </w:rPr>
  </w:style>
  <w:style w:type="character" w:customStyle="1" w:styleId="14">
    <w:name w:val="页眉 Char"/>
    <w:basedOn w:val="11"/>
    <w:link w:val="7"/>
    <w:qFormat/>
    <w:uiPriority w:val="99"/>
    <w:rPr>
      <w:sz w:val="18"/>
      <w:szCs w:val="18"/>
    </w:rPr>
  </w:style>
  <w:style w:type="character" w:customStyle="1" w:styleId="15">
    <w:name w:val="页脚 Char"/>
    <w:basedOn w:val="11"/>
    <w:link w:val="5"/>
    <w:qFormat/>
    <w:uiPriority w:val="99"/>
    <w:rPr>
      <w:sz w:val="18"/>
      <w:szCs w:val="18"/>
    </w:rPr>
  </w:style>
  <w:style w:type="character" w:customStyle="1" w:styleId="16">
    <w:name w:val="列出段落 Char"/>
    <w:link w:val="13"/>
    <w:qFormat/>
    <w:uiPriority w:val="34"/>
    <w:rPr>
      <w:rFonts w:ascii="Calibri" w:hAnsi="Calibri"/>
    </w:rPr>
  </w:style>
  <w:style w:type="character" w:customStyle="1" w:styleId="17">
    <w:name w:val="批注文字 Char"/>
    <w:basedOn w:val="11"/>
    <w:link w:val="2"/>
    <w:semiHidden/>
    <w:qFormat/>
    <w:uiPriority w:val="99"/>
  </w:style>
  <w:style w:type="character" w:customStyle="1" w:styleId="18">
    <w:name w:val="批注主题 Char"/>
    <w:basedOn w:val="17"/>
    <w:link w:val="8"/>
    <w:semiHidden/>
    <w:qFormat/>
    <w:uiPriority w:val="99"/>
    <w:rPr>
      <w:b/>
      <w:bCs/>
    </w:rPr>
  </w:style>
  <w:style w:type="character" w:customStyle="1" w:styleId="19">
    <w:name w:val="批注框文本 Char"/>
    <w:basedOn w:val="11"/>
    <w:link w:val="4"/>
    <w:semiHidden/>
    <w:qFormat/>
    <w:uiPriority w:val="99"/>
    <w:rPr>
      <w:sz w:val="18"/>
      <w:szCs w:val="18"/>
    </w:rPr>
  </w:style>
  <w:style w:type="paragraph" w:customStyle="1" w:styleId="20">
    <w:name w:val="正文表格"/>
    <w:basedOn w:val="1"/>
    <w:qFormat/>
    <w:uiPriority w:val="0"/>
    <w:pPr>
      <w:adjustRightInd w:val="0"/>
      <w:snapToGrid w:val="0"/>
      <w:jc w:val="left"/>
    </w:pPr>
    <w:rPr>
      <w:rFonts w:ascii="宋体" w:hAnsi="宋体"/>
      <w:color w:val="00000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322</Words>
  <Characters>1837</Characters>
  <Lines>15</Lines>
  <Paragraphs>4</Paragraphs>
  <TotalTime>1</TotalTime>
  <ScaleCrop>false</ScaleCrop>
  <LinksUpToDate>false</LinksUpToDate>
  <CharactersWithSpaces>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2022-04-19T12:00:00Z</dcterms:created>
  <dc:creator>强文晓</dc:creator>
  <cp:lastModifiedBy>admin</cp:lastModifiedBy>
  <dcterms:modified xsi:type="dcterms:W3CDTF">2025-03-24T15:06:33Z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E9DF036E6E8A4B939C7F8AAFD271A14B_12</vt:lpwstr>
  </property>
</Properties>
</file>