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7F24C">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2026年</w:t>
      </w:r>
      <w:r>
        <w:rPr>
          <w:rFonts w:hint="eastAsia" w:ascii="方正小标宋简体" w:hAnsi="方正小标宋简体" w:eastAsia="方正小标宋简体" w:cs="方正小标宋简体"/>
          <w:sz w:val="32"/>
          <w:szCs w:val="32"/>
        </w:rPr>
        <w:t>护士执业注册后台管理</w:t>
      </w:r>
      <w:r>
        <w:rPr>
          <w:rFonts w:hint="eastAsia" w:ascii="方正小标宋简体" w:hAnsi="方正小标宋简体" w:eastAsia="方正小标宋简体" w:cs="方正小标宋简体"/>
          <w:sz w:val="32"/>
          <w:szCs w:val="32"/>
          <w:lang w:val="en-US" w:eastAsia="zh-CN"/>
        </w:rPr>
        <w:t xml:space="preserve">项目评分表           </w:t>
      </w:r>
    </w:p>
    <w:tbl>
      <w:tblPr>
        <w:tblStyle w:val="11"/>
        <w:tblW w:w="15595" w:type="dxa"/>
        <w:tblInd w:w="-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070"/>
        <w:gridCol w:w="705"/>
        <w:gridCol w:w="8467"/>
        <w:gridCol w:w="795"/>
        <w:gridCol w:w="2245"/>
      </w:tblGrid>
      <w:tr w14:paraId="7927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313" w:type="dxa"/>
            <w:shd w:val="clear" w:color="auto" w:fill="FFFFFF"/>
            <w:vAlign w:val="center"/>
          </w:tcPr>
          <w:p w14:paraId="2829A57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内容</w:t>
            </w:r>
          </w:p>
        </w:tc>
        <w:tc>
          <w:tcPr>
            <w:tcW w:w="2070" w:type="dxa"/>
            <w:shd w:val="clear" w:color="auto" w:fill="FFFFFF"/>
            <w:vAlign w:val="center"/>
          </w:tcPr>
          <w:p w14:paraId="6AA8892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评分内容</w:t>
            </w:r>
          </w:p>
        </w:tc>
        <w:tc>
          <w:tcPr>
            <w:tcW w:w="705" w:type="dxa"/>
            <w:shd w:val="clear" w:color="auto" w:fill="FFFFFF"/>
            <w:vAlign w:val="center"/>
          </w:tcPr>
          <w:p w14:paraId="47C1964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分值</w:t>
            </w:r>
          </w:p>
        </w:tc>
        <w:tc>
          <w:tcPr>
            <w:tcW w:w="8467" w:type="dxa"/>
            <w:shd w:val="clear" w:color="auto" w:fill="FFFFFF"/>
            <w:vAlign w:val="center"/>
          </w:tcPr>
          <w:p w14:paraId="2F0C752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评标标准</w:t>
            </w:r>
          </w:p>
        </w:tc>
        <w:tc>
          <w:tcPr>
            <w:tcW w:w="795" w:type="dxa"/>
            <w:shd w:val="clear" w:color="auto" w:fill="FFFFFF"/>
            <w:vAlign w:val="center"/>
          </w:tcPr>
          <w:p w14:paraId="5A5B7E6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lang w:eastAsia="zh-CN"/>
              </w:rPr>
            </w:pPr>
            <w:r>
              <w:rPr>
                <w:rFonts w:hint="eastAsia" w:ascii="楷体" w:hAnsi="楷体" w:eastAsia="楷体" w:cs="楷体"/>
                <w:b/>
                <w:sz w:val="24"/>
                <w:szCs w:val="24"/>
                <w:lang w:eastAsia="zh-CN"/>
              </w:rPr>
              <w:t>得分</w:t>
            </w:r>
          </w:p>
        </w:tc>
        <w:tc>
          <w:tcPr>
            <w:tcW w:w="2245" w:type="dxa"/>
            <w:shd w:val="clear" w:color="auto" w:fill="FFFFFF"/>
            <w:vAlign w:val="center"/>
          </w:tcPr>
          <w:p w14:paraId="3099E1F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lang w:eastAsia="zh-CN"/>
              </w:rPr>
            </w:pPr>
            <w:r>
              <w:rPr>
                <w:rFonts w:hint="eastAsia" w:ascii="楷体" w:hAnsi="楷体" w:eastAsia="楷体" w:cs="楷体"/>
                <w:b/>
                <w:sz w:val="24"/>
                <w:szCs w:val="24"/>
                <w:lang w:eastAsia="zh-CN"/>
              </w:rPr>
              <w:t>备注</w:t>
            </w:r>
          </w:p>
        </w:tc>
      </w:tr>
      <w:tr w14:paraId="5770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313" w:type="dxa"/>
            <w:vMerge w:val="restart"/>
            <w:shd w:val="clear" w:color="auto" w:fill="FFFFFF"/>
            <w:vAlign w:val="center"/>
          </w:tcPr>
          <w:p w14:paraId="6F1AB9F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技术部分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70分</w:t>
            </w:r>
            <w:r>
              <w:rPr>
                <w:rFonts w:hint="eastAsia" w:ascii="仿宋_GB2312" w:hAnsi="宋体" w:eastAsia="仿宋_GB2312" w:cs="Times New Roman"/>
                <w:sz w:val="24"/>
                <w:szCs w:val="24"/>
                <w:lang w:eastAsia="zh-CN"/>
              </w:rPr>
              <w:t>）</w:t>
            </w:r>
          </w:p>
        </w:tc>
        <w:tc>
          <w:tcPr>
            <w:tcW w:w="2070" w:type="dxa"/>
            <w:shd w:val="clear" w:color="auto" w:fill="FFFFFF"/>
            <w:vAlign w:val="center"/>
          </w:tcPr>
          <w:p w14:paraId="7C6A1316">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针对本项目特点的专业化实施方案评价</w:t>
            </w:r>
          </w:p>
        </w:tc>
        <w:tc>
          <w:tcPr>
            <w:tcW w:w="705" w:type="dxa"/>
            <w:shd w:val="clear" w:color="auto" w:fill="FFFFFF"/>
            <w:vAlign w:val="center"/>
          </w:tcPr>
          <w:p w14:paraId="0181C15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8467" w:type="dxa"/>
            <w:shd w:val="clear" w:color="auto" w:fill="FFFFFF"/>
            <w:vAlign w:val="center"/>
          </w:tcPr>
          <w:p w14:paraId="12A83B90">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针对本项目遴选需求提供：①项目方案有明确的执行思路及实施计划。</w:t>
            </w:r>
            <w:r>
              <w:rPr>
                <w:rFonts w:hint="eastAsia" w:ascii="仿宋_GB2312" w:hAnsi="仿宋_GB2312" w:eastAsia="仿宋_GB2312" w:cs="仿宋_GB2312"/>
                <w:sz w:val="24"/>
                <w:szCs w:val="24"/>
                <w:lang w:val="en-US" w:eastAsia="zh-CN"/>
              </w:rPr>
              <w:t>②预期项目实施效果</w:t>
            </w:r>
            <w:r>
              <w:rPr>
                <w:rFonts w:hint="eastAsia" w:ascii="仿宋_GB2312" w:hAnsi="仿宋_GB2312" w:eastAsia="仿宋_GB2312" w:cs="仿宋_GB2312"/>
                <w:sz w:val="24"/>
                <w:szCs w:val="24"/>
                <w:lang w:eastAsia="zh-CN"/>
              </w:rPr>
              <w:t>。项目实施方案编制思路清晰、目标明确、条理严谨，实施方案对项目结果的最终实现具有良好的支撑性、衔接性，符合遴选工作任务要求，预期成果及技术路线完备。</w:t>
            </w:r>
          </w:p>
          <w:p w14:paraId="3EC0A963">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none"/>
                <w:lang w:eastAsia="zh-CN"/>
              </w:rPr>
              <w:t>每项内容满分</w:t>
            </w:r>
            <w:r>
              <w:rPr>
                <w:rFonts w:hint="eastAsia" w:ascii="仿宋_GB2312" w:hAnsi="仿宋_GB2312" w:eastAsia="仿宋_GB2312" w:cs="仿宋_GB2312"/>
                <w:b w:val="0"/>
                <w:bCs w:val="0"/>
                <w:sz w:val="24"/>
                <w:szCs w:val="24"/>
                <w:u w:val="none"/>
                <w:lang w:val="en-US" w:eastAsia="zh-CN"/>
              </w:rPr>
              <w:t>15分</w:t>
            </w:r>
            <w:r>
              <w:rPr>
                <w:rFonts w:hint="eastAsia" w:ascii="仿宋_GB2312" w:hAnsi="仿宋_GB2312" w:eastAsia="仿宋_GB2312" w:cs="仿宋_GB2312"/>
                <w:sz w:val="24"/>
                <w:szCs w:val="24"/>
                <w:lang w:val="en-US" w:eastAsia="zh-CN"/>
              </w:rPr>
              <w:t>，内容进行了详细的论述且满足遴选需求，优秀的得15分、良好的得10分，内容虽阐述但未贴合项目实际情况或内容未包括具体实施细节及措施得5分，内容未进行阐述或不满足遴选需求得0分。</w:t>
            </w:r>
          </w:p>
        </w:tc>
        <w:tc>
          <w:tcPr>
            <w:tcW w:w="795" w:type="dxa"/>
            <w:shd w:val="clear" w:color="auto" w:fill="FFFFFF"/>
            <w:vAlign w:val="center"/>
          </w:tcPr>
          <w:p w14:paraId="0A1F57B6">
            <w:pPr>
              <w:rPr>
                <w:rFonts w:hint="eastAsia" w:ascii="仿宋_GB2312" w:hAnsi="仿宋_GB2312" w:eastAsia="仿宋_GB2312" w:cs="仿宋_GB2312"/>
                <w:sz w:val="21"/>
                <w:szCs w:val="21"/>
                <w:lang w:eastAsia="zh-CN"/>
              </w:rPr>
            </w:pPr>
          </w:p>
        </w:tc>
        <w:tc>
          <w:tcPr>
            <w:tcW w:w="2245" w:type="dxa"/>
            <w:shd w:val="clear" w:color="auto" w:fill="FFFFFF"/>
            <w:vAlign w:val="center"/>
          </w:tcPr>
          <w:p w14:paraId="5076C86A">
            <w:pPr>
              <w:rPr>
                <w:rFonts w:hint="eastAsia" w:ascii="仿宋_GB2312" w:hAnsi="仿宋_GB2312" w:eastAsia="仿宋_GB2312" w:cs="仿宋_GB2312"/>
                <w:sz w:val="21"/>
                <w:szCs w:val="21"/>
                <w:lang w:eastAsia="zh-CN"/>
              </w:rPr>
            </w:pPr>
          </w:p>
        </w:tc>
      </w:tr>
      <w:tr w14:paraId="0713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313" w:type="dxa"/>
            <w:vMerge w:val="continue"/>
            <w:shd w:val="clear" w:color="auto" w:fill="auto"/>
            <w:vAlign w:val="center"/>
          </w:tcPr>
          <w:p w14:paraId="3096F0FF">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shd w:val="clear" w:color="auto" w:fill="FFFFFF"/>
            <w:vAlign w:val="center"/>
          </w:tcPr>
          <w:p w14:paraId="27CEA63A">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sz w:val="24"/>
              </w:rPr>
              <w:t>质量保证措施</w:t>
            </w:r>
          </w:p>
        </w:tc>
        <w:tc>
          <w:tcPr>
            <w:tcW w:w="705" w:type="dxa"/>
            <w:shd w:val="clear" w:color="auto" w:fill="FFFFFF"/>
            <w:vAlign w:val="center"/>
          </w:tcPr>
          <w:p w14:paraId="7AC1F22B">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30</w:t>
            </w:r>
          </w:p>
        </w:tc>
        <w:tc>
          <w:tcPr>
            <w:tcW w:w="8467" w:type="dxa"/>
            <w:shd w:val="clear" w:color="auto" w:fill="FFFFFF"/>
            <w:vAlign w:val="center"/>
          </w:tcPr>
          <w:p w14:paraId="7853530A">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lang w:val="en-US" w:eastAsia="zh-CN"/>
              </w:rPr>
              <w:t>供应商</w:t>
            </w:r>
            <w:r>
              <w:rPr>
                <w:rFonts w:hint="eastAsia" w:ascii="仿宋_GB2312" w:hAnsi="仿宋_GB2312" w:eastAsia="仿宋_GB2312" w:cs="仿宋_GB2312"/>
                <w:sz w:val="24"/>
              </w:rPr>
              <w:t>质量管理体系健全，技术支持有保障，人员安排合理，能够在服务期内高质量完成合同要求。优秀的，得</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0分；良好的，得</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分；一般的，得1-</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分，未提供得0分。</w:t>
            </w:r>
          </w:p>
        </w:tc>
        <w:tc>
          <w:tcPr>
            <w:tcW w:w="795" w:type="dxa"/>
            <w:shd w:val="clear" w:color="auto" w:fill="FFFFFF"/>
            <w:vAlign w:val="center"/>
          </w:tcPr>
          <w:p w14:paraId="1C043E83">
            <w:pPr>
              <w:rPr>
                <w:rFonts w:hint="eastAsia" w:ascii="仿宋_GB2312" w:hAnsi="仿宋_GB2312" w:eastAsia="仿宋_GB2312" w:cs="仿宋_GB2312"/>
                <w:sz w:val="21"/>
                <w:szCs w:val="21"/>
              </w:rPr>
            </w:pPr>
          </w:p>
        </w:tc>
        <w:tc>
          <w:tcPr>
            <w:tcW w:w="2245" w:type="dxa"/>
            <w:shd w:val="clear" w:color="auto" w:fill="FFFFFF"/>
            <w:vAlign w:val="center"/>
          </w:tcPr>
          <w:p w14:paraId="4F463514">
            <w:pPr>
              <w:rPr>
                <w:rFonts w:hint="eastAsia" w:ascii="仿宋_GB2312" w:hAnsi="仿宋_GB2312" w:eastAsia="仿宋_GB2312" w:cs="仿宋_GB2312"/>
                <w:sz w:val="21"/>
                <w:szCs w:val="21"/>
              </w:rPr>
            </w:pPr>
          </w:p>
        </w:tc>
      </w:tr>
      <w:tr w14:paraId="2E27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313" w:type="dxa"/>
            <w:vMerge w:val="continue"/>
            <w:shd w:val="clear" w:color="auto" w:fill="auto"/>
            <w:vAlign w:val="center"/>
          </w:tcPr>
          <w:p w14:paraId="50DB7631">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shd w:val="clear" w:color="auto" w:fill="FFFFFF"/>
            <w:vAlign w:val="center"/>
          </w:tcPr>
          <w:p w14:paraId="24E5B307">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sz w:val="24"/>
              </w:rPr>
              <w:t>服务承诺</w:t>
            </w:r>
          </w:p>
        </w:tc>
        <w:tc>
          <w:tcPr>
            <w:tcW w:w="705" w:type="dxa"/>
            <w:shd w:val="clear" w:color="auto" w:fill="FFFFFF"/>
            <w:vAlign w:val="center"/>
          </w:tcPr>
          <w:p w14:paraId="21F84521">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8467" w:type="dxa"/>
            <w:shd w:val="clear" w:color="auto" w:fill="FFFFFF"/>
            <w:vAlign w:val="center"/>
          </w:tcPr>
          <w:p w14:paraId="23B528B5">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rPr>
              <w:t>根据项目需要，</w:t>
            </w:r>
            <w:r>
              <w:rPr>
                <w:rFonts w:hint="eastAsia" w:ascii="仿宋_GB2312" w:hAnsi="仿宋_GB2312" w:eastAsia="仿宋_GB2312" w:cs="仿宋_GB2312"/>
                <w:sz w:val="24"/>
                <w:lang w:val="en-US" w:eastAsia="zh-CN"/>
              </w:rPr>
              <w:t>供应商</w:t>
            </w:r>
            <w:r>
              <w:rPr>
                <w:rFonts w:hint="eastAsia" w:ascii="仿宋_GB2312" w:hAnsi="仿宋_GB2312" w:eastAsia="仿宋_GB2312" w:cs="仿宋_GB2312"/>
                <w:sz w:val="24"/>
              </w:rPr>
              <w:t>提供质量保证</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时效保证</w:t>
            </w:r>
            <w:r>
              <w:rPr>
                <w:rFonts w:hint="eastAsia" w:ascii="仿宋_GB2312" w:hAnsi="仿宋_GB2312" w:eastAsia="仿宋_GB2312" w:cs="仿宋_GB2312"/>
                <w:sz w:val="24"/>
              </w:rPr>
              <w:t>等有利于项目实施的服务承诺。优秀的，得7-10分；良好的，得4-6分；一般的，得1-3分；未提供得0分。</w:t>
            </w:r>
          </w:p>
        </w:tc>
        <w:tc>
          <w:tcPr>
            <w:tcW w:w="795" w:type="dxa"/>
            <w:shd w:val="clear" w:color="auto" w:fill="FFFFFF"/>
            <w:vAlign w:val="center"/>
          </w:tcPr>
          <w:p w14:paraId="6073E711">
            <w:pPr>
              <w:rPr>
                <w:rFonts w:hint="eastAsia" w:ascii="仿宋_GB2312" w:hAnsi="仿宋_GB2312" w:eastAsia="仿宋_GB2312" w:cs="仿宋_GB2312"/>
                <w:sz w:val="21"/>
                <w:szCs w:val="21"/>
                <w:lang w:eastAsia="zh-CN"/>
              </w:rPr>
            </w:pPr>
          </w:p>
        </w:tc>
        <w:tc>
          <w:tcPr>
            <w:tcW w:w="2245" w:type="dxa"/>
            <w:shd w:val="clear" w:color="auto" w:fill="FFFFFF"/>
            <w:vAlign w:val="center"/>
          </w:tcPr>
          <w:p w14:paraId="23E4F1FB">
            <w:pPr>
              <w:rPr>
                <w:rFonts w:hint="eastAsia" w:ascii="仿宋_GB2312" w:hAnsi="仿宋_GB2312" w:eastAsia="仿宋_GB2312" w:cs="仿宋_GB2312"/>
                <w:sz w:val="21"/>
                <w:szCs w:val="21"/>
                <w:lang w:eastAsia="zh-CN"/>
              </w:rPr>
            </w:pPr>
          </w:p>
        </w:tc>
      </w:tr>
      <w:tr w14:paraId="7A02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313" w:type="dxa"/>
            <w:vMerge w:val="restart"/>
            <w:shd w:val="clear" w:color="auto" w:fill="auto"/>
            <w:vAlign w:val="center"/>
          </w:tcPr>
          <w:p w14:paraId="56C0911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商务部分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20分</w:t>
            </w:r>
            <w:r>
              <w:rPr>
                <w:rFonts w:hint="eastAsia" w:ascii="仿宋_GB2312" w:hAnsi="宋体" w:eastAsia="仿宋_GB2312" w:cs="Times New Roman"/>
                <w:sz w:val="24"/>
                <w:szCs w:val="24"/>
                <w:lang w:eastAsia="zh-CN"/>
              </w:rPr>
              <w:t>）</w:t>
            </w:r>
          </w:p>
        </w:tc>
        <w:tc>
          <w:tcPr>
            <w:tcW w:w="2070" w:type="dxa"/>
            <w:shd w:val="clear" w:color="auto" w:fill="FFFFFF"/>
            <w:vAlign w:val="center"/>
          </w:tcPr>
          <w:p w14:paraId="14870E0C">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Times New Roman"/>
                <w:sz w:val="24"/>
                <w:szCs w:val="24"/>
              </w:rPr>
              <w:t>承担类似项目业绩</w:t>
            </w:r>
          </w:p>
        </w:tc>
        <w:tc>
          <w:tcPr>
            <w:tcW w:w="705" w:type="dxa"/>
            <w:shd w:val="clear" w:color="auto" w:fill="FFFFFF"/>
            <w:vAlign w:val="center"/>
          </w:tcPr>
          <w:p w14:paraId="66A4C02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w:t>
            </w:r>
          </w:p>
        </w:tc>
        <w:tc>
          <w:tcPr>
            <w:tcW w:w="8467" w:type="dxa"/>
            <w:shd w:val="clear" w:color="auto" w:fill="FFFFFF"/>
            <w:vAlign w:val="center"/>
          </w:tcPr>
          <w:p w14:paraId="566A3582">
            <w:pPr>
              <w:spacing w:line="36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根据</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lang w:val="en-US" w:eastAsia="zh-CN"/>
              </w:rPr>
              <w:t>在</w:t>
            </w:r>
            <w:r>
              <w:rPr>
                <w:rFonts w:hint="eastAsia" w:ascii="仿宋_GB2312" w:hAnsi="仿宋_GB2312" w:eastAsia="仿宋_GB2312" w:cs="仿宋_GB2312"/>
                <w:kern w:val="0"/>
                <w:sz w:val="24"/>
                <w:szCs w:val="24"/>
              </w:rPr>
              <w:t>本</w:t>
            </w:r>
            <w:r>
              <w:rPr>
                <w:rFonts w:hint="eastAsia" w:ascii="仿宋_GB2312" w:hAnsi="仿宋_GB2312" w:eastAsia="仿宋_GB2312" w:cs="仿宋_GB2312"/>
                <w:kern w:val="0"/>
                <w:sz w:val="24"/>
                <w:szCs w:val="24"/>
                <w:lang w:eastAsia="zh-CN"/>
              </w:rPr>
              <w:t>遴选</w:t>
            </w:r>
            <w:r>
              <w:rPr>
                <w:rFonts w:hint="eastAsia" w:ascii="仿宋_GB2312" w:hAnsi="仿宋_GB2312" w:eastAsia="仿宋_GB2312" w:cs="仿宋_GB2312"/>
                <w:kern w:val="0"/>
                <w:sz w:val="24"/>
                <w:szCs w:val="24"/>
              </w:rPr>
              <w:t>公告发布前，</w:t>
            </w:r>
            <w:r>
              <w:rPr>
                <w:rFonts w:hint="eastAsia" w:ascii="仿宋_GB2312" w:hAnsi="仿宋_GB2312" w:eastAsia="仿宋_GB2312" w:cs="仿宋_GB2312"/>
                <w:kern w:val="0"/>
                <w:sz w:val="24"/>
                <w:szCs w:val="24"/>
                <w:lang w:val="en-US" w:eastAsia="zh-CN"/>
              </w:rPr>
              <w:t>既往</w:t>
            </w:r>
            <w:r>
              <w:rPr>
                <w:rFonts w:hint="eastAsia" w:ascii="仿宋_GB2312" w:hAnsi="仿宋_GB2312" w:eastAsia="仿宋_GB2312" w:cs="仿宋_GB2312"/>
                <w:kern w:val="0"/>
                <w:sz w:val="24"/>
                <w:szCs w:val="24"/>
              </w:rPr>
              <w:t>承担与本项目类似的项目业绩进行评价</w:t>
            </w:r>
            <w:r>
              <w:rPr>
                <w:rFonts w:hint="eastAsia" w:ascii="仿宋_GB2312" w:hAnsi="仿宋_GB2312" w:eastAsia="仿宋_GB2312" w:cs="仿宋_GB2312"/>
                <w:kern w:val="0"/>
                <w:sz w:val="24"/>
                <w:szCs w:val="24"/>
                <w:lang w:eastAsia="zh-CN"/>
              </w:rPr>
              <w:t>。</w:t>
            </w:r>
          </w:p>
          <w:p w14:paraId="2BEE458F">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每承接1个</w:t>
            </w:r>
            <w:r>
              <w:rPr>
                <w:rFonts w:hint="eastAsia" w:ascii="仿宋_GB2312" w:hAnsi="仿宋_GB2312" w:eastAsia="仿宋_GB2312" w:cs="仿宋_GB2312"/>
                <w:kern w:val="0"/>
                <w:sz w:val="24"/>
                <w:szCs w:val="24"/>
                <w:lang w:eastAsia="zh-CN"/>
              </w:rPr>
              <w:t>类似规模的项目业绩得</w:t>
            </w:r>
            <w:r>
              <w:rPr>
                <w:rFonts w:hint="eastAsia" w:ascii="仿宋_GB2312" w:hAnsi="仿宋_GB2312" w:eastAsia="仿宋_GB2312" w:cs="仿宋_GB2312"/>
                <w:kern w:val="0"/>
                <w:sz w:val="24"/>
                <w:szCs w:val="24"/>
                <w:lang w:val="en-US" w:eastAsia="zh-CN"/>
              </w:rPr>
              <w:t>2分，</w:t>
            </w:r>
            <w:r>
              <w:rPr>
                <w:rFonts w:hint="eastAsia" w:ascii="仿宋_GB2312" w:hAnsi="仿宋_GB2312" w:eastAsia="仿宋_GB2312" w:cs="仿宋_GB2312"/>
                <w:kern w:val="0"/>
                <w:sz w:val="24"/>
                <w:szCs w:val="24"/>
                <w:lang w:eastAsia="zh-CN"/>
              </w:rPr>
              <w:t>最多得</w:t>
            </w:r>
            <w:r>
              <w:rPr>
                <w:rFonts w:hint="eastAsia" w:ascii="仿宋_GB2312" w:hAnsi="仿宋_GB2312" w:eastAsia="仿宋_GB2312" w:cs="仿宋_GB2312"/>
                <w:kern w:val="0"/>
                <w:sz w:val="24"/>
                <w:szCs w:val="24"/>
              </w:rPr>
              <w:t>10分。注：</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4"/>
                <w:szCs w:val="24"/>
                <w:lang w:eastAsia="zh-CN"/>
              </w:rPr>
              <w:t>。</w:t>
            </w:r>
          </w:p>
        </w:tc>
        <w:tc>
          <w:tcPr>
            <w:tcW w:w="795" w:type="dxa"/>
            <w:shd w:val="clear" w:color="auto" w:fill="FFFFFF"/>
            <w:vAlign w:val="center"/>
          </w:tcPr>
          <w:p w14:paraId="08D75FAA">
            <w:pPr>
              <w:rPr>
                <w:rFonts w:hint="eastAsia" w:ascii="仿宋_GB2312" w:hAnsi="仿宋_GB2312" w:eastAsia="仿宋_GB2312" w:cs="仿宋_GB2312"/>
                <w:sz w:val="21"/>
                <w:szCs w:val="21"/>
                <w:lang w:eastAsia="zh-CN"/>
              </w:rPr>
            </w:pPr>
          </w:p>
        </w:tc>
        <w:tc>
          <w:tcPr>
            <w:tcW w:w="2245" w:type="dxa"/>
            <w:shd w:val="clear" w:color="auto" w:fill="FFFFFF"/>
            <w:vAlign w:val="center"/>
          </w:tcPr>
          <w:p w14:paraId="67908CAE">
            <w:pPr>
              <w:rPr>
                <w:rFonts w:hint="eastAsia" w:ascii="仿宋_GB2312" w:hAnsi="仿宋_GB2312" w:eastAsia="仿宋_GB2312" w:cs="仿宋_GB2312"/>
                <w:sz w:val="21"/>
                <w:szCs w:val="21"/>
                <w:lang w:eastAsia="zh-CN"/>
              </w:rPr>
            </w:pPr>
          </w:p>
        </w:tc>
      </w:tr>
      <w:tr w14:paraId="2306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313" w:type="dxa"/>
            <w:vMerge w:val="continue"/>
            <w:shd w:val="clear" w:color="auto" w:fill="auto"/>
            <w:vAlign w:val="center"/>
          </w:tcPr>
          <w:p w14:paraId="6B35BBE8">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shd w:val="clear" w:color="auto" w:fill="FFFFFF"/>
            <w:vAlign w:val="center"/>
          </w:tcPr>
          <w:p w14:paraId="34ECD0A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Times New Roman"/>
                <w:sz w:val="24"/>
                <w:szCs w:val="24"/>
              </w:rPr>
              <w:t>项目人员配备</w:t>
            </w:r>
          </w:p>
        </w:tc>
        <w:tc>
          <w:tcPr>
            <w:tcW w:w="705" w:type="dxa"/>
            <w:shd w:val="clear" w:color="auto" w:fill="FFFFFF"/>
            <w:vAlign w:val="center"/>
          </w:tcPr>
          <w:p w14:paraId="3E70E36C">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467" w:type="dxa"/>
            <w:shd w:val="clear" w:color="auto" w:fill="FFFFFF"/>
            <w:vAlign w:val="center"/>
          </w:tcPr>
          <w:p w14:paraId="43F0DF30">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拟投入本项目团队主要成员情况及参与过相关项目的资料，需提供人员名册，必须保证后续参与该项工作。横向比较，最优得4分、较好得2分、一般得1分、较差得0分</w:t>
            </w:r>
            <w:r>
              <w:rPr>
                <w:rFonts w:hint="eastAsia" w:ascii="仿宋_GB2312" w:hAnsi="仿宋_GB2312" w:eastAsia="仿宋_GB2312" w:cs="仿宋_GB2312"/>
                <w:sz w:val="24"/>
                <w:szCs w:val="24"/>
                <w:lang w:eastAsia="zh-CN"/>
              </w:rPr>
              <w:t>。</w:t>
            </w:r>
          </w:p>
        </w:tc>
        <w:tc>
          <w:tcPr>
            <w:tcW w:w="795" w:type="dxa"/>
            <w:shd w:val="clear" w:color="auto" w:fill="FFFFFF"/>
            <w:vAlign w:val="center"/>
          </w:tcPr>
          <w:p w14:paraId="133FD5E3">
            <w:pPr>
              <w:rPr>
                <w:rFonts w:hint="eastAsia" w:ascii="仿宋_GB2312" w:hAnsi="仿宋_GB2312" w:eastAsia="仿宋_GB2312" w:cs="仿宋_GB2312"/>
                <w:sz w:val="21"/>
                <w:szCs w:val="21"/>
                <w:lang w:eastAsia="zh-CN"/>
              </w:rPr>
            </w:pPr>
          </w:p>
        </w:tc>
        <w:tc>
          <w:tcPr>
            <w:tcW w:w="2245" w:type="dxa"/>
            <w:shd w:val="clear" w:color="auto" w:fill="FFFFFF"/>
            <w:vAlign w:val="center"/>
          </w:tcPr>
          <w:p w14:paraId="2E6ACBDD">
            <w:pPr>
              <w:rPr>
                <w:rFonts w:hint="eastAsia" w:ascii="仿宋_GB2312" w:hAnsi="仿宋_GB2312" w:eastAsia="仿宋_GB2312" w:cs="仿宋_GB2312"/>
                <w:sz w:val="21"/>
                <w:szCs w:val="21"/>
                <w:lang w:eastAsia="zh-CN"/>
              </w:rPr>
            </w:pPr>
          </w:p>
        </w:tc>
      </w:tr>
      <w:tr w14:paraId="02C3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313" w:type="dxa"/>
            <w:vMerge w:val="continue"/>
            <w:shd w:val="clear" w:color="auto" w:fill="auto"/>
            <w:vAlign w:val="center"/>
          </w:tcPr>
          <w:p w14:paraId="7E968164">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shd w:val="clear" w:color="auto" w:fill="FFFFFF"/>
            <w:vAlign w:val="center"/>
          </w:tcPr>
          <w:p w14:paraId="65F4A8A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bookmarkStart w:id="0" w:name="_GoBack"/>
            <w:bookmarkEnd w:id="0"/>
            <w:r>
              <w:rPr>
                <w:rFonts w:hint="eastAsia" w:ascii="仿宋_GB2312" w:hAnsi="宋体" w:eastAsia="仿宋_GB2312" w:cs="Times New Roman"/>
                <w:sz w:val="24"/>
                <w:szCs w:val="24"/>
                <w:lang w:eastAsia="zh-CN"/>
              </w:rPr>
              <w:t>项目负责人情况</w:t>
            </w:r>
          </w:p>
        </w:tc>
        <w:tc>
          <w:tcPr>
            <w:tcW w:w="705" w:type="dxa"/>
            <w:shd w:val="clear" w:color="auto" w:fill="FFFFFF"/>
            <w:vAlign w:val="center"/>
          </w:tcPr>
          <w:p w14:paraId="37FE17E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467" w:type="dxa"/>
            <w:shd w:val="clear" w:color="auto" w:fill="FFFFFF"/>
            <w:vAlign w:val="center"/>
          </w:tcPr>
          <w:p w14:paraId="06B43033">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拟投入本项目负责人承担的</w:t>
            </w:r>
            <w:r>
              <w:rPr>
                <w:rFonts w:hint="eastAsia" w:ascii="仿宋_GB2312" w:hAnsi="仿宋_GB2312" w:eastAsia="仿宋_GB2312" w:cs="仿宋_GB2312"/>
                <w:kern w:val="0"/>
                <w:sz w:val="24"/>
                <w:szCs w:val="24"/>
                <w:lang w:val="en-US" w:eastAsia="zh-CN"/>
              </w:rPr>
              <w:t>卫生健康领域数据管理平台</w:t>
            </w:r>
            <w:r>
              <w:rPr>
                <w:rFonts w:hint="eastAsia" w:ascii="仿宋_GB2312" w:hAnsi="仿宋_GB2312" w:eastAsia="仿宋_GB2312" w:cs="仿宋_GB2312"/>
                <w:kern w:val="0"/>
                <w:sz w:val="24"/>
                <w:szCs w:val="24"/>
              </w:rPr>
              <w:t>工作情况。每项业绩得2分，最高得6分（需提供参与该项目的相关证明材料）</w:t>
            </w:r>
            <w:r>
              <w:rPr>
                <w:rFonts w:hint="eastAsia" w:ascii="仿宋_GB2312" w:hAnsi="仿宋_GB2312" w:eastAsia="仿宋_GB2312" w:cs="仿宋_GB2312"/>
                <w:kern w:val="0"/>
                <w:sz w:val="24"/>
                <w:szCs w:val="24"/>
                <w:lang w:eastAsia="zh-CN"/>
              </w:rPr>
              <w:t>。</w:t>
            </w:r>
          </w:p>
        </w:tc>
        <w:tc>
          <w:tcPr>
            <w:tcW w:w="795" w:type="dxa"/>
            <w:shd w:val="clear" w:color="auto" w:fill="FFFFFF"/>
            <w:vAlign w:val="center"/>
          </w:tcPr>
          <w:p w14:paraId="078900CB">
            <w:pPr>
              <w:rPr>
                <w:rFonts w:hint="eastAsia" w:ascii="仿宋_GB2312" w:hAnsi="仿宋_GB2312" w:eastAsia="仿宋_GB2312" w:cs="仿宋_GB2312"/>
                <w:sz w:val="21"/>
                <w:szCs w:val="21"/>
                <w:lang w:eastAsia="zh-CN"/>
              </w:rPr>
            </w:pPr>
          </w:p>
        </w:tc>
        <w:tc>
          <w:tcPr>
            <w:tcW w:w="2245" w:type="dxa"/>
            <w:shd w:val="clear" w:color="auto" w:fill="FFFFFF"/>
            <w:vAlign w:val="center"/>
          </w:tcPr>
          <w:p w14:paraId="15112407">
            <w:pPr>
              <w:rPr>
                <w:rFonts w:hint="eastAsia" w:ascii="仿宋_GB2312" w:hAnsi="仿宋_GB2312" w:eastAsia="仿宋_GB2312" w:cs="仿宋_GB2312"/>
                <w:sz w:val="21"/>
                <w:szCs w:val="21"/>
                <w:lang w:eastAsia="zh-CN"/>
              </w:rPr>
            </w:pPr>
          </w:p>
        </w:tc>
      </w:tr>
      <w:tr w14:paraId="1296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1313" w:type="dxa"/>
            <w:shd w:val="clear" w:color="auto" w:fill="auto"/>
            <w:vAlign w:val="center"/>
          </w:tcPr>
          <w:p w14:paraId="6EA164CE">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价格部分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10分</w:t>
            </w:r>
            <w:r>
              <w:rPr>
                <w:rFonts w:hint="eastAsia" w:ascii="仿宋_GB2312" w:hAnsi="宋体" w:eastAsia="仿宋_GB2312" w:cs="Times New Roman"/>
                <w:sz w:val="24"/>
                <w:szCs w:val="24"/>
                <w:lang w:eastAsia="zh-CN"/>
              </w:rPr>
              <w:t>）</w:t>
            </w:r>
          </w:p>
        </w:tc>
        <w:tc>
          <w:tcPr>
            <w:tcW w:w="2070" w:type="dxa"/>
            <w:shd w:val="clear" w:color="auto" w:fill="FFFFFF"/>
            <w:vAlign w:val="center"/>
          </w:tcPr>
          <w:p w14:paraId="06286A14">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宋体"/>
                <w:kern w:val="0"/>
                <w:sz w:val="24"/>
                <w:szCs w:val="24"/>
                <w:lang w:eastAsia="zh-CN"/>
              </w:rPr>
              <w:t>遴选报价</w:t>
            </w:r>
          </w:p>
        </w:tc>
        <w:tc>
          <w:tcPr>
            <w:tcW w:w="705" w:type="dxa"/>
            <w:shd w:val="clear" w:color="auto" w:fill="FFFFFF"/>
            <w:vAlign w:val="center"/>
          </w:tcPr>
          <w:p w14:paraId="1C369C56">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10 </w:t>
            </w:r>
          </w:p>
        </w:tc>
        <w:tc>
          <w:tcPr>
            <w:tcW w:w="8467" w:type="dxa"/>
            <w:shd w:val="clear" w:color="auto" w:fill="FFFFFF"/>
            <w:vAlign w:val="center"/>
          </w:tcPr>
          <w:p w14:paraId="0131B568">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综合评分法中的价格分统一采用低价优先法计算，即满足遴选文件要求且价格最低的评审价为评标基准价，其价格分为满分。其他供应商的价格分统一按照下列</w:t>
            </w:r>
            <w:r>
              <w:rPr>
                <w:rFonts w:hint="eastAsia" w:ascii="仿宋_GB2312" w:hAnsi="仿宋_GB2312" w:eastAsia="仿宋_GB2312" w:cs="仿宋_GB2312"/>
                <w:b/>
                <w:bCs/>
                <w:sz w:val="24"/>
                <w:szCs w:val="24"/>
                <w:lang w:eastAsia="zh-CN"/>
              </w:rPr>
              <w:t>公式计算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u w:val="single"/>
                <w:lang w:eastAsia="zh-CN"/>
              </w:rPr>
              <w:t>价格分数=（基准价/遴选报价）×10</w:t>
            </w:r>
            <w:r>
              <w:rPr>
                <w:rFonts w:hint="eastAsia" w:ascii="仿宋_GB2312" w:hAnsi="仿宋_GB2312" w:eastAsia="仿宋_GB2312" w:cs="仿宋_GB2312"/>
                <w:sz w:val="24"/>
                <w:szCs w:val="24"/>
                <w:lang w:eastAsia="zh-CN"/>
              </w:rPr>
              <w:t>。最低报价不作为成交保证。</w:t>
            </w:r>
          </w:p>
          <w:p w14:paraId="1B597178">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如评审专家组认为某供应商报价明显低于其他供应商报价时，会要求其在评审现场合理的时间内提供书面说明，必要时提交相关材料。如供应商不能在指定时间内证明其报价合理性的，评审专家组有权将其作为无效遴选处理】</w:t>
            </w:r>
          </w:p>
        </w:tc>
        <w:tc>
          <w:tcPr>
            <w:tcW w:w="795" w:type="dxa"/>
            <w:shd w:val="clear" w:color="auto" w:fill="FFFFFF"/>
            <w:vAlign w:val="center"/>
          </w:tcPr>
          <w:p w14:paraId="685D64D5">
            <w:pPr>
              <w:rPr>
                <w:rFonts w:hint="eastAsia" w:ascii="仿宋_GB2312" w:hAnsi="仿宋_GB2312" w:eastAsia="仿宋_GB2312" w:cs="仿宋_GB2312"/>
                <w:sz w:val="21"/>
                <w:szCs w:val="21"/>
                <w:lang w:eastAsia="zh-CN"/>
              </w:rPr>
            </w:pPr>
          </w:p>
        </w:tc>
        <w:tc>
          <w:tcPr>
            <w:tcW w:w="2245" w:type="dxa"/>
            <w:shd w:val="clear" w:color="auto" w:fill="FFFFFF"/>
            <w:vAlign w:val="center"/>
          </w:tcPr>
          <w:p w14:paraId="336061C6">
            <w:pPr>
              <w:rPr>
                <w:rFonts w:hint="eastAsia" w:ascii="仿宋_GB2312" w:hAnsi="仿宋_GB2312" w:eastAsia="仿宋_GB2312" w:cs="仿宋_GB2312"/>
                <w:sz w:val="21"/>
                <w:szCs w:val="21"/>
                <w:lang w:eastAsia="zh-CN"/>
              </w:rPr>
            </w:pPr>
          </w:p>
        </w:tc>
      </w:tr>
      <w:tr w14:paraId="1061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555" w:type="dxa"/>
            <w:gridSpan w:val="4"/>
            <w:shd w:val="clear" w:color="auto" w:fill="auto"/>
            <w:vAlign w:val="center"/>
          </w:tcPr>
          <w:p w14:paraId="480F5E7A">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实际得分</w:t>
            </w:r>
          </w:p>
        </w:tc>
        <w:tc>
          <w:tcPr>
            <w:tcW w:w="3040" w:type="dxa"/>
            <w:gridSpan w:val="2"/>
            <w:shd w:val="clear" w:color="auto" w:fill="FFFFFF"/>
            <w:vAlign w:val="center"/>
          </w:tcPr>
          <w:p w14:paraId="280F1C03">
            <w:pPr>
              <w:rPr>
                <w:rFonts w:hint="eastAsia" w:ascii="仿宋_GB2312" w:hAnsi="仿宋_GB2312" w:eastAsia="仿宋_GB2312" w:cs="仿宋_GB2312"/>
                <w:sz w:val="21"/>
                <w:szCs w:val="21"/>
                <w:lang w:eastAsia="zh-CN"/>
              </w:rPr>
            </w:pPr>
          </w:p>
        </w:tc>
      </w:tr>
    </w:tbl>
    <w:p w14:paraId="3EC3A91C">
      <w:pPr>
        <w:pStyle w:val="9"/>
        <w:spacing w:before="287" w:beforeLines="100" w:line="240" w:lineRule="auto"/>
        <w:rPr>
          <w:rFonts w:hint="eastAsia"/>
          <w:lang w:val="en-US" w:eastAsia="zh-CN"/>
        </w:rPr>
      </w:pPr>
      <w:r>
        <w:rPr>
          <w:rFonts w:hint="eastAsia"/>
          <w:sz w:val="24"/>
          <w:lang w:val="en-US" w:eastAsia="zh-CN"/>
        </w:rPr>
        <w:t xml:space="preserve">遴选日期：  2026年     月     日                                  遴选专家签字： </w:t>
      </w:r>
      <w:r>
        <w:rPr>
          <w:rFonts w:hint="eastAsia"/>
          <w:sz w:val="24"/>
          <w:u w:val="single"/>
          <w:lang w:val="en-US" w:eastAsia="zh-CN"/>
        </w:rPr>
        <w:t xml:space="preserve">                      </w:t>
      </w:r>
    </w:p>
    <w:sectPr>
      <w:headerReference r:id="rId5" w:type="default"/>
      <w:footerReference r:id="rId6" w:type="default"/>
      <w:footerReference r:id="rId7" w:type="even"/>
      <w:pgSz w:w="16838" w:h="11906" w:orient="landscape"/>
      <w:pgMar w:top="1179" w:right="2098" w:bottom="1247"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CF20D0C2-C335-4084-BE56-FBD1E92074E9}"/>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04AA0C29-9BAD-4034-9F43-0D933F825B1B}"/>
  </w:font>
  <w:font w:name="楷体">
    <w:panose1 w:val="02010609060101010101"/>
    <w:charset w:val="86"/>
    <w:family w:val="auto"/>
    <w:pitch w:val="default"/>
    <w:sig w:usb0="800002BF" w:usb1="38CF7CFA" w:usb2="00000016" w:usb3="00000000" w:csb0="00040001" w:csb1="00000000"/>
    <w:embedRegular r:id="rId3" w:fontKey="{53DFD124-B436-4AE0-B84D-E67A11FD19A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2B85">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89F6">
    <w:pPr>
      <w:pStyle w:val="6"/>
      <w:framePr w:wrap="around" w:vAnchor="text" w:hAnchor="margin" w:xAlign="outside" w:y="1"/>
      <w:ind w:left="210" w:leftChars="100"/>
      <w:rPr>
        <w:rStyle w:val="15"/>
        <w:rFonts w:ascii="宋体" w:hAnsi="宋体"/>
        <w:sz w:val="28"/>
        <w:szCs w:val="28"/>
      </w:rPr>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4</w:t>
    </w:r>
    <w:r>
      <w:rPr>
        <w:rStyle w:val="15"/>
        <w:rFonts w:ascii="宋体" w:hAnsi="宋体"/>
        <w:sz w:val="28"/>
        <w:szCs w:val="28"/>
      </w:rPr>
      <w:fldChar w:fldCharType="end"/>
    </w:r>
    <w:r>
      <w:rPr>
        <w:rStyle w:val="15"/>
        <w:rFonts w:hint="eastAsia" w:ascii="宋体" w:hAnsi="宋体"/>
        <w:sz w:val="28"/>
        <w:szCs w:val="28"/>
      </w:rPr>
      <w:t xml:space="preserve"> －</w:t>
    </w:r>
  </w:p>
  <w:p w14:paraId="20774DEB">
    <w:pPr>
      <w:pStyle w:val="6"/>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1B0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VhYTdlNzIyNjYyY2VlMzljYzk0OTRjOWMzYjY3OTEifQ=="/>
  </w:docVars>
  <w:rsids>
    <w:rsidRoot w:val="00000000"/>
    <w:rsid w:val="007C2754"/>
    <w:rsid w:val="00BE39DE"/>
    <w:rsid w:val="01F112CC"/>
    <w:rsid w:val="01FF51E1"/>
    <w:rsid w:val="027C16B8"/>
    <w:rsid w:val="02D72661"/>
    <w:rsid w:val="03231B33"/>
    <w:rsid w:val="059E2D61"/>
    <w:rsid w:val="05D20C77"/>
    <w:rsid w:val="05FC679E"/>
    <w:rsid w:val="0702412D"/>
    <w:rsid w:val="070E5B8E"/>
    <w:rsid w:val="07465F1D"/>
    <w:rsid w:val="07A13A99"/>
    <w:rsid w:val="098D7D07"/>
    <w:rsid w:val="09914CCC"/>
    <w:rsid w:val="099869BA"/>
    <w:rsid w:val="09D37D46"/>
    <w:rsid w:val="0A416590"/>
    <w:rsid w:val="0AE43B71"/>
    <w:rsid w:val="0C191D25"/>
    <w:rsid w:val="0CA51BF8"/>
    <w:rsid w:val="0CDA555A"/>
    <w:rsid w:val="0D0F6543"/>
    <w:rsid w:val="0E0119CA"/>
    <w:rsid w:val="0E3B799D"/>
    <w:rsid w:val="0E79590D"/>
    <w:rsid w:val="0E8D58EF"/>
    <w:rsid w:val="0F1A64E0"/>
    <w:rsid w:val="10BD324F"/>
    <w:rsid w:val="10DC4F92"/>
    <w:rsid w:val="116D040D"/>
    <w:rsid w:val="120A6163"/>
    <w:rsid w:val="126679E3"/>
    <w:rsid w:val="12C17203"/>
    <w:rsid w:val="139D30C7"/>
    <w:rsid w:val="142E7791"/>
    <w:rsid w:val="1430235A"/>
    <w:rsid w:val="143C4EDC"/>
    <w:rsid w:val="149C7B8C"/>
    <w:rsid w:val="14ED0209"/>
    <w:rsid w:val="1538070B"/>
    <w:rsid w:val="15AD71D1"/>
    <w:rsid w:val="16337DFA"/>
    <w:rsid w:val="16826719"/>
    <w:rsid w:val="19362169"/>
    <w:rsid w:val="195B775B"/>
    <w:rsid w:val="199C1ED7"/>
    <w:rsid w:val="1A741C95"/>
    <w:rsid w:val="1BF974E3"/>
    <w:rsid w:val="1C2D4C7B"/>
    <w:rsid w:val="1C3425A1"/>
    <w:rsid w:val="1DFE71E1"/>
    <w:rsid w:val="1E8D16A5"/>
    <w:rsid w:val="1F223576"/>
    <w:rsid w:val="20555F76"/>
    <w:rsid w:val="22A61CC2"/>
    <w:rsid w:val="23825FAA"/>
    <w:rsid w:val="23B24AE2"/>
    <w:rsid w:val="23F31321"/>
    <w:rsid w:val="251406E0"/>
    <w:rsid w:val="251E499C"/>
    <w:rsid w:val="26D23C06"/>
    <w:rsid w:val="272525B8"/>
    <w:rsid w:val="275A34C6"/>
    <w:rsid w:val="27FF7BCA"/>
    <w:rsid w:val="28B424B6"/>
    <w:rsid w:val="28CE464D"/>
    <w:rsid w:val="2A3B1D0C"/>
    <w:rsid w:val="2A500721"/>
    <w:rsid w:val="2A5F42E4"/>
    <w:rsid w:val="2A9E642D"/>
    <w:rsid w:val="2AAE7B1B"/>
    <w:rsid w:val="2AC64341"/>
    <w:rsid w:val="2AF74AFA"/>
    <w:rsid w:val="2C490FEF"/>
    <w:rsid w:val="2C557EE5"/>
    <w:rsid w:val="2C77727F"/>
    <w:rsid w:val="2DF316F7"/>
    <w:rsid w:val="2E9A328C"/>
    <w:rsid w:val="2FC878A4"/>
    <w:rsid w:val="304557D8"/>
    <w:rsid w:val="30640A4A"/>
    <w:rsid w:val="30FB11B2"/>
    <w:rsid w:val="310B6782"/>
    <w:rsid w:val="3111559E"/>
    <w:rsid w:val="31CA29BD"/>
    <w:rsid w:val="31FB296F"/>
    <w:rsid w:val="33EE3601"/>
    <w:rsid w:val="372847D4"/>
    <w:rsid w:val="385A2AE8"/>
    <w:rsid w:val="39C809FB"/>
    <w:rsid w:val="3ABE0FD9"/>
    <w:rsid w:val="3B7D63DA"/>
    <w:rsid w:val="3B944BC0"/>
    <w:rsid w:val="3EF1169A"/>
    <w:rsid w:val="414C39F0"/>
    <w:rsid w:val="439A472A"/>
    <w:rsid w:val="43A571CF"/>
    <w:rsid w:val="441C7FD3"/>
    <w:rsid w:val="45C565EC"/>
    <w:rsid w:val="465E4CB1"/>
    <w:rsid w:val="47C67CFB"/>
    <w:rsid w:val="47E62066"/>
    <w:rsid w:val="4A192850"/>
    <w:rsid w:val="4A632DA1"/>
    <w:rsid w:val="4AEA342D"/>
    <w:rsid w:val="4B645C7A"/>
    <w:rsid w:val="4CBE712F"/>
    <w:rsid w:val="4CF82CB6"/>
    <w:rsid w:val="4D2C4661"/>
    <w:rsid w:val="4DE81745"/>
    <w:rsid w:val="4EC40AAC"/>
    <w:rsid w:val="4F353A65"/>
    <w:rsid w:val="50161CC6"/>
    <w:rsid w:val="503F55AC"/>
    <w:rsid w:val="50B2385B"/>
    <w:rsid w:val="513044BE"/>
    <w:rsid w:val="518C1080"/>
    <w:rsid w:val="524730B2"/>
    <w:rsid w:val="52FB4B21"/>
    <w:rsid w:val="53E14715"/>
    <w:rsid w:val="546365A3"/>
    <w:rsid w:val="55766852"/>
    <w:rsid w:val="559F50D6"/>
    <w:rsid w:val="57E26A3C"/>
    <w:rsid w:val="58CE6FC1"/>
    <w:rsid w:val="59B60656"/>
    <w:rsid w:val="5A91404C"/>
    <w:rsid w:val="5C501E2D"/>
    <w:rsid w:val="5D432800"/>
    <w:rsid w:val="5D4D621E"/>
    <w:rsid w:val="5E2D5235"/>
    <w:rsid w:val="5E8B68CF"/>
    <w:rsid w:val="5F5A7800"/>
    <w:rsid w:val="61AD053C"/>
    <w:rsid w:val="625B3673"/>
    <w:rsid w:val="63543822"/>
    <w:rsid w:val="637D4B55"/>
    <w:rsid w:val="63E643B8"/>
    <w:rsid w:val="640E4E7E"/>
    <w:rsid w:val="65586CD4"/>
    <w:rsid w:val="657E5541"/>
    <w:rsid w:val="65FD37CF"/>
    <w:rsid w:val="662965FB"/>
    <w:rsid w:val="66723E06"/>
    <w:rsid w:val="66B17ADD"/>
    <w:rsid w:val="672F227A"/>
    <w:rsid w:val="678720E2"/>
    <w:rsid w:val="680F6BB7"/>
    <w:rsid w:val="68703912"/>
    <w:rsid w:val="6919500A"/>
    <w:rsid w:val="6A0532A1"/>
    <w:rsid w:val="6B33079D"/>
    <w:rsid w:val="6BFC45F9"/>
    <w:rsid w:val="6C6966AA"/>
    <w:rsid w:val="6C992961"/>
    <w:rsid w:val="6D084F7C"/>
    <w:rsid w:val="6D441C7B"/>
    <w:rsid w:val="6D8D693E"/>
    <w:rsid w:val="6F92331A"/>
    <w:rsid w:val="70A37393"/>
    <w:rsid w:val="711E7A05"/>
    <w:rsid w:val="72372D87"/>
    <w:rsid w:val="727A6A13"/>
    <w:rsid w:val="72D72911"/>
    <w:rsid w:val="73104330"/>
    <w:rsid w:val="73CD6508"/>
    <w:rsid w:val="750F3DE0"/>
    <w:rsid w:val="75FD4DF0"/>
    <w:rsid w:val="76A06818"/>
    <w:rsid w:val="77316C5C"/>
    <w:rsid w:val="773C186D"/>
    <w:rsid w:val="777A449D"/>
    <w:rsid w:val="778F3545"/>
    <w:rsid w:val="77F83326"/>
    <w:rsid w:val="78542BE7"/>
    <w:rsid w:val="78957EF8"/>
    <w:rsid w:val="79705CA0"/>
    <w:rsid w:val="79863E66"/>
    <w:rsid w:val="7A6823CB"/>
    <w:rsid w:val="7A701748"/>
    <w:rsid w:val="7A9B392D"/>
    <w:rsid w:val="7C3866D8"/>
    <w:rsid w:val="7C724BD9"/>
    <w:rsid w:val="7C8141C6"/>
    <w:rsid w:val="7D7C4771"/>
    <w:rsid w:val="7E0F492A"/>
    <w:rsid w:val="7E181679"/>
    <w:rsid w:val="7E4213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2">
    <w:name w:val="heading 2"/>
    <w:basedOn w:val="1"/>
    <w:next w:val="1"/>
    <w:autoRedefine/>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line="360" w:lineRule="auto"/>
      <w:ind w:firstLine="480" w:firstLineChars="200"/>
    </w:pPr>
    <w:rPr>
      <w:sz w:val="24"/>
    </w:rPr>
  </w:style>
  <w:style w:type="paragraph" w:styleId="4">
    <w:name w:val="Plain Text"/>
    <w:basedOn w:val="1"/>
    <w:next w:val="1"/>
    <w:autoRedefine/>
    <w:qFormat/>
    <w:uiPriority w:val="99"/>
    <w:rPr>
      <w:rFonts w:ascii="宋体" w:hAnsi="Courier New" w:cs="Courier New"/>
      <w:szCs w:val="21"/>
    </w:rPr>
  </w:style>
  <w:style w:type="paragraph" w:styleId="5">
    <w:name w:val="Body Text Indent 2"/>
    <w:basedOn w:val="1"/>
    <w:autoRedefine/>
    <w:qFormat/>
    <w:uiPriority w:val="0"/>
    <w:pPr>
      <w:tabs>
        <w:tab w:val="left" w:pos="2250"/>
      </w:tabs>
      <w:spacing w:before="100" w:beforeAutospacing="1" w:line="400" w:lineRule="exact"/>
      <w:ind w:firstLine="629"/>
    </w:pPr>
    <w:rPr>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paragraph" w:styleId="9">
    <w:name w:val="index 1"/>
    <w:basedOn w:val="1"/>
    <w:next w:val="1"/>
    <w:autoRedefine/>
    <w:qFormat/>
    <w:uiPriority w:val="99"/>
  </w:style>
  <w:style w:type="paragraph" w:styleId="10">
    <w:name w:val="Body Text First Indent 2"/>
    <w:basedOn w:val="3"/>
    <w:autoRedefine/>
    <w:qFormat/>
    <w:uiPriority w:val="0"/>
    <w:pPr>
      <w:ind w:firstLine="420" w:firstLineChars="200"/>
    </w:pPr>
    <w:rPr>
      <w:rFonts w:ascii="Calibri" w:hAnsi="Calibri"/>
    </w:rPr>
  </w:style>
  <w:style w:type="table" w:styleId="12">
    <w:name w:val="Table Grid"/>
    <w:basedOn w:val="1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page number"/>
    <w:basedOn w:val="13"/>
    <w:autoRedefine/>
    <w:qFormat/>
    <w:uiPriority w:val="0"/>
  </w:style>
  <w:style w:type="character" w:styleId="16">
    <w:name w:val="Hyperlink"/>
    <w:basedOn w:val="13"/>
    <w:autoRedefine/>
    <w:unhideWhenUsed/>
    <w:qFormat/>
    <w:uiPriority w:val="99"/>
    <w:rPr>
      <w:color w:val="0563C1"/>
      <w:u w:val="single"/>
    </w:rPr>
  </w:style>
  <w:style w:type="paragraph" w:customStyle="1" w:styleId="17">
    <w:name w:val="UserStyle_1"/>
    <w:basedOn w:val="1"/>
    <w:link w:val="20"/>
    <w:autoRedefine/>
    <w:qFormat/>
    <w:uiPriority w:val="0"/>
    <w:rPr>
      <w:rFonts w:ascii="Times New Roman" w:hAnsi="Times New Roman" w:eastAsia="宋体"/>
      <w:kern w:val="0"/>
      <w:sz w:val="20"/>
      <w:szCs w:val="20"/>
    </w:rPr>
  </w:style>
  <w:style w:type="paragraph" w:customStyle="1" w:styleId="18">
    <w:name w:val="UserStyle_3"/>
    <w:basedOn w:val="1"/>
    <w:link w:val="21"/>
    <w:autoRedefine/>
    <w:qFormat/>
    <w:uiPriority w:val="0"/>
    <w:rPr>
      <w:rFonts w:ascii="Times New Roman" w:hAnsi="Times New Roman" w:eastAsia="宋体"/>
      <w:kern w:val="0"/>
      <w:sz w:val="20"/>
      <w:szCs w:val="20"/>
    </w:rPr>
  </w:style>
  <w:style w:type="paragraph" w:customStyle="1" w:styleId="19">
    <w:name w:val="Default"/>
    <w:autoRedefine/>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20">
    <w:name w:val="UserStyle_0"/>
    <w:link w:val="17"/>
    <w:autoRedefine/>
    <w:qFormat/>
    <w:uiPriority w:val="0"/>
    <w:rPr>
      <w:rFonts w:ascii="Times New Roman" w:hAnsi="Times New Roman" w:eastAsia="宋体"/>
      <w:kern w:val="0"/>
      <w:sz w:val="20"/>
      <w:szCs w:val="20"/>
    </w:rPr>
  </w:style>
  <w:style w:type="character" w:customStyle="1" w:styleId="21">
    <w:name w:val="UserStyle_2"/>
    <w:link w:val="18"/>
    <w:autoRedefine/>
    <w:qFormat/>
    <w:uiPriority w:val="0"/>
    <w:rPr>
      <w:rFonts w:ascii="Times New Roman" w:hAnsi="Times New Roman" w:eastAsia="宋体"/>
      <w:kern w:val="0"/>
      <w:sz w:val="20"/>
      <w:szCs w:val="20"/>
    </w:rPr>
  </w:style>
  <w:style w:type="character" w:customStyle="1" w:styleId="22">
    <w:name w:val="UserStyle_4"/>
    <w:autoRedefine/>
    <w:qFormat/>
    <w:uiPriority w:val="0"/>
    <w:rPr>
      <w:rFonts w:ascii="Calibri" w:hAnsi="Calibri" w:eastAsia="宋体"/>
    </w:rPr>
  </w:style>
  <w:style w:type="character" w:customStyle="1" w:styleId="23">
    <w:name w:val="NormalCharacter"/>
    <w:autoRedefine/>
    <w:qFormat/>
    <w:uiPriority w:val="0"/>
  </w:style>
  <w:style w:type="character" w:customStyle="1" w:styleId="24">
    <w:name w:val="font41"/>
    <w:basedOn w:val="13"/>
    <w:autoRedefine/>
    <w:qFormat/>
    <w:uiPriority w:val="0"/>
    <w:rPr>
      <w:rFonts w:hint="eastAsia" w:ascii="仿宋" w:hAnsi="仿宋" w:eastAsia="仿宋" w:cs="仿宋"/>
      <w:color w:val="000000"/>
      <w:sz w:val="24"/>
      <w:szCs w:val="24"/>
      <w:u w:val="none"/>
    </w:rPr>
  </w:style>
  <w:style w:type="character" w:customStyle="1" w:styleId="25">
    <w:name w:val="font31"/>
    <w:basedOn w:val="13"/>
    <w:autoRedefine/>
    <w:qFormat/>
    <w:uiPriority w:val="0"/>
    <w:rPr>
      <w:rFonts w:hint="eastAsia" w:ascii="仿宋" w:hAnsi="仿宋" w:eastAsia="仿宋" w:cs="仿宋"/>
      <w:color w:val="000000"/>
      <w:sz w:val="24"/>
      <w:szCs w:val="24"/>
      <w:u w:val="none"/>
    </w:rPr>
  </w:style>
  <w:style w:type="character" w:customStyle="1" w:styleId="26">
    <w:name w:val="font21"/>
    <w:basedOn w:val="13"/>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fa807fdb-b699-4854-9e61-0819cd5c56c7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7853530A</paraID>
      <start>51</start>
      <end>52</end>
      <status>unmodified</status>
      <modifiedWord/>
      <trackRevisions>false</trackRevisions>
    </reviewItem>
    <reviewItem>
      <errorID>455c68a9-2f8e-4e6f-bb3e-16d62e7d5cd1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7853530A</paraID>
      <start>63</start>
      <end>64</end>
      <status>unmodified</status>
      <modifiedWord/>
      <trackRevisions>false</trackRevisions>
    </reviewItem>
    <reviewItem>
      <errorID>447abff7-d5cb-4a4d-9660-32ccd6b2c96a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7853530A</paraID>
      <start>74</start>
      <end>75</end>
      <status>unmodified</status>
      <modifiedWord/>
      <trackRevisions>false</trackRevisions>
    </reviewItem>
    <reviewItem>
      <errorID>c5670460-91e6-43b2-a58d-21f86eaac315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23B528B5</paraID>
      <start>41</start>
      <end>42</end>
      <status>unmodified</status>
      <modifiedWord/>
      <trackRevisions>false</trackRevisions>
    </reviewItem>
    <reviewItem>
      <errorID>8866b405-2f74-449f-aa4c-894892caf348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23B528B5</paraID>
      <start>52</start>
      <end>53</end>
      <status>unmodified</status>
      <modifiedWord/>
      <trackRevisions>false</trackRevisions>
    </reviewItem>
    <reviewItem>
      <errorID>793b3b1c-84f1-4e2b-ad7c-08e6cc99a966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23B528B5</paraID>
      <start>62</start>
      <end>63</end>
      <status>unmodified</status>
      <modifiedWord/>
      <trackRevisions>false</trackRevisions>
    </reviewItem>
    <reviewItem>
      <errorID>a386b8ca-e41b-4969-ad5d-68e8a0e7b9ff</errorID>
      <errorWord>间</errorWord>
      <group>L1_Word</group>
      <groupName>字词问题</groupName>
      <ability>L2_Typo</ability>
      <abilityName>字词错误</abilityName>
      <candidateList>
        <item>间内</item>
      </candidateList>
      <explain/>
      <paraID>1B597178</paraID>
      <start>70</start>
      <end>73</end>
      <status>modified</status>
      <modifiedWord>间内</modifiedWord>
      <trackRevisions>true</trackRevisions>
    </reviewItem>
  </reviewItems>
  <config/>
</contractReview>
</file>

<file path=customXml/itemProps1.xml><?xml version="1.0" encoding="utf-8"?>
<ds:datastoreItem xmlns:ds="http://schemas.openxmlformats.org/officeDocument/2006/customXml" ds:itemID="{d3d2c126-6639-46e9-9cb4-749c017ab29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1450</Words>
  <Characters>1497</Characters>
  <Lines>0</Lines>
  <Paragraphs>0</Paragraphs>
  <TotalTime>14</TotalTime>
  <ScaleCrop>false</ScaleCrop>
  <LinksUpToDate>false</LinksUpToDate>
  <CharactersWithSpaces>1578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leaf</cp:lastModifiedBy>
  <cp:lastPrinted>2025-03-18T03:01:00Z</cp:lastPrinted>
  <dcterms:modified xsi:type="dcterms:W3CDTF">2026-05-11T08:00:45Z</dcterms:modified>
  <dc:title>附件2        2022年国际护士节宣传项目评分标准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28A201C88DFC479684D0679D68EA4A06</vt:lpwstr>
  </property>
  <property fmtid="{D5CDD505-2E9C-101B-9397-08002B2CF9AE}" pid="4" name="KSOTemplateDocerSaveRecord">
    <vt:lpwstr>eyJoZGlkIjoiMTgyY2Y5Y2UxZjkwY2NiYzg1MTM4ZmQzOTFhYWJhY2IiLCJ1c2VySWQiOiI1MzkyNDQ2MjcifQ==</vt:lpwstr>
  </property>
</Properties>
</file>