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hint="eastAsia" w:ascii="仿宋" w:hAnsi="仿宋" w:eastAsia="仿宋" w:cs="仿宋"/>
                <w:kern w:val="0"/>
                <w:sz w:val="28"/>
                <w:szCs w:val="28"/>
              </w:rPr>
            </w:pPr>
            <w:r>
              <w:rPr>
                <w:rFonts w:hint="eastAsia" w:ascii="仿宋" w:hAnsi="仿宋" w:eastAsia="仿宋" w:cs="仿宋"/>
                <w:sz w:val="28"/>
                <w:szCs w:val="28"/>
                <w:lang w:val="en-US" w:eastAsia="zh-CN"/>
              </w:rPr>
              <w:t>三证合一的营业执照或事业单位法人证书复印件（须加盖本单位公章）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hint="eastAsia" w:ascii="仿宋" w:hAnsi="仿宋" w:eastAsia="仿宋" w:cs="仿宋"/>
                <w:kern w:val="0"/>
                <w:sz w:val="28"/>
                <w:szCs w:val="28"/>
              </w:rPr>
            </w:pPr>
            <w:r>
              <w:rPr>
                <w:rFonts w:hint="eastAsia" w:ascii="仿宋" w:hAnsi="仿宋" w:eastAsia="仿宋" w:cs="仿宋"/>
                <w:sz w:val="28"/>
                <w:szCs w:val="28"/>
              </w:rPr>
              <w:t>遴选报价</w:t>
            </w:r>
            <w:r>
              <w:rPr>
                <w:rFonts w:hint="eastAsia" w:ascii="仿宋" w:hAnsi="仿宋" w:eastAsia="仿宋" w:cs="仿宋"/>
                <w:sz w:val="28"/>
                <w:szCs w:val="28"/>
                <w:lang w:val="en-US" w:eastAsia="zh-CN"/>
              </w:rPr>
              <w:t>不</w:t>
            </w:r>
            <w:r>
              <w:rPr>
                <w:rFonts w:hint="eastAsia" w:ascii="仿宋" w:hAnsi="仿宋" w:eastAsia="仿宋" w:cs="仿宋"/>
                <w:sz w:val="28"/>
                <w:szCs w:val="28"/>
              </w:rPr>
              <w:t>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8"/>
                <w:szCs w:val="28"/>
              </w:rPr>
            </w:pPr>
            <w:r>
              <w:rPr>
                <w:rFonts w:hint="eastAsia" w:ascii="仿宋" w:hAnsi="仿宋" w:eastAsia="仿宋" w:cs="仿宋"/>
                <w:sz w:val="28"/>
                <w:szCs w:val="28"/>
              </w:rPr>
              <w:t>遴选文件的签署、盖章合格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8"/>
                <w:szCs w:val="28"/>
              </w:rPr>
            </w:pPr>
            <w:r>
              <w:rPr>
                <w:rFonts w:hint="eastAsia" w:ascii="仿宋" w:hAnsi="仿宋" w:eastAsia="仿宋" w:cs="仿宋"/>
                <w:sz w:val="28"/>
                <w:szCs w:val="28"/>
                <w:lang w:val="en-US" w:eastAsia="zh-CN"/>
              </w:rPr>
              <w:t>参加本次遴选活动前三年内，在经营活动中没有重大违法记录的声明（供应商须提供此声明，法定法人或其授权代表签字，并加盖本单位公章）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5</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 w:val="28"/>
                <w:szCs w:val="28"/>
                <w:lang w:val="en-US" w:eastAsia="zh-CN"/>
              </w:rPr>
            </w:pPr>
            <w:r>
              <w:rPr>
                <w:rFonts w:hint="eastAsia" w:ascii="仿宋" w:hAnsi="仿宋" w:eastAsia="仿宋" w:cs="仿宋"/>
                <w:sz w:val="28"/>
                <w:szCs w:val="28"/>
                <w:lang w:val="en-US" w:eastAsia="zh-CN"/>
              </w:rPr>
              <w:t>近三年内参与社区老年服务规范化相关活动的单位优先考虑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w:t>
      </w:r>
      <w:r>
        <w:rPr>
          <w:rFonts w:hint="eastAsia" w:ascii="仿宋" w:hAnsi="仿宋" w:eastAsia="仿宋" w:cs="宋体"/>
          <w:bCs/>
          <w:color w:val="auto"/>
          <w:sz w:val="28"/>
          <w:szCs w:val="28"/>
        </w:rPr>
        <w:t>成交候选人</w:t>
      </w:r>
      <w:r>
        <w:rPr>
          <w:rFonts w:hint="eastAsia" w:ascii="仿宋" w:hAnsi="仿宋" w:eastAsia="仿宋" w:cs="宋体"/>
          <w:bCs/>
          <w:sz w:val="28"/>
          <w:szCs w:val="28"/>
        </w:rPr>
        <w:t>。</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jc w:val="left"/>
        <w:rPr>
          <w:rFonts w:hint="eastAsia" w:ascii="仿宋" w:hAnsi="仿宋" w:eastAsia="仿宋" w:cs="宋体"/>
          <w:bCs/>
          <w:sz w:val="28"/>
          <w:szCs w:val="28"/>
        </w:rPr>
      </w:pPr>
      <w:r>
        <w:rPr>
          <w:rFonts w:hint="eastAsia" w:ascii="仿宋" w:hAnsi="仿宋" w:eastAsia="仿宋" w:cs="宋体"/>
          <w:bCs/>
          <w:sz w:val="28"/>
          <w:szCs w:val="28"/>
          <w:lang w:val="en-US" w:eastAsia="zh-CN"/>
        </w:rPr>
        <w:t>5、</w:t>
      </w:r>
      <w:r>
        <w:rPr>
          <w:rFonts w:hint="eastAsia" w:ascii="仿宋" w:hAnsi="仿宋" w:eastAsia="仿宋" w:cs="宋体"/>
          <w:bCs/>
          <w:sz w:val="28"/>
          <w:szCs w:val="28"/>
          <w:lang w:eastAsia="zh-CN"/>
        </w:rPr>
        <w:t>如对本项目进行实质性响应的供应商不足</w:t>
      </w:r>
      <w:r>
        <w:rPr>
          <w:rFonts w:hint="eastAsia" w:ascii="仿宋" w:hAnsi="仿宋" w:eastAsia="仿宋" w:cs="宋体"/>
          <w:bCs/>
          <w:sz w:val="28"/>
          <w:szCs w:val="28"/>
          <w:lang w:val="en-US" w:eastAsia="zh-CN"/>
        </w:rPr>
        <w:t>2</w:t>
      </w:r>
      <w:r>
        <w:rPr>
          <w:rFonts w:hint="eastAsia" w:ascii="仿宋" w:hAnsi="仿宋" w:eastAsia="仿宋" w:cs="宋体"/>
          <w:bCs/>
          <w:sz w:val="28"/>
          <w:szCs w:val="28"/>
          <w:lang w:eastAsia="zh-CN"/>
        </w:rPr>
        <w:t>家但大于等于</w:t>
      </w:r>
      <w:r>
        <w:rPr>
          <w:rFonts w:hint="eastAsia" w:ascii="仿宋" w:hAnsi="仿宋" w:eastAsia="仿宋" w:cs="宋体"/>
          <w:bCs/>
          <w:sz w:val="28"/>
          <w:szCs w:val="28"/>
          <w:lang w:val="en-US" w:eastAsia="zh-CN"/>
        </w:rPr>
        <w:t>1</w:t>
      </w:r>
      <w:r>
        <w:rPr>
          <w:rFonts w:hint="eastAsia" w:ascii="仿宋" w:hAnsi="仿宋" w:eastAsia="仿宋" w:cs="宋体"/>
          <w:bCs/>
          <w:sz w:val="28"/>
          <w:szCs w:val="28"/>
          <w:lang w:eastAsia="zh-CN"/>
        </w:rPr>
        <w:t>家时，项目主办处室决定是否继续进行采购活动或延期遴选文件获取时间及递交申请文件时间。如继续进行采购活动，如评审小组按照遴选文件对供应商的申请文件综合打分不足</w:t>
      </w:r>
      <w:r>
        <w:rPr>
          <w:rFonts w:hint="eastAsia" w:ascii="仿宋" w:hAnsi="仿宋" w:eastAsia="仿宋" w:cs="宋体"/>
          <w:bCs/>
          <w:sz w:val="28"/>
          <w:szCs w:val="28"/>
          <w:lang w:val="en-US" w:eastAsia="zh-CN"/>
        </w:rPr>
        <w:t>60分时，</w:t>
      </w:r>
      <w:r>
        <w:rPr>
          <w:rFonts w:hint="eastAsia" w:ascii="仿宋" w:hAnsi="仿宋" w:eastAsia="仿宋" w:cs="宋体"/>
          <w:bCs/>
          <w:sz w:val="28"/>
          <w:szCs w:val="28"/>
          <w:lang w:eastAsia="zh-CN"/>
        </w:rPr>
        <w:t>项目主办处室可以选择</w:t>
      </w:r>
      <w:r>
        <w:rPr>
          <w:rFonts w:hint="eastAsia" w:ascii="仿宋" w:hAnsi="仿宋" w:eastAsia="仿宋" w:cs="宋体"/>
          <w:bCs/>
          <w:sz w:val="28"/>
          <w:szCs w:val="28"/>
          <w:lang w:val="en-US" w:eastAsia="zh-CN"/>
        </w:rPr>
        <w:t>本项目废标</w:t>
      </w:r>
      <w:r>
        <w:rPr>
          <w:rFonts w:hint="eastAsia" w:ascii="仿宋" w:hAnsi="仿宋" w:eastAsia="仿宋" w:cs="宋体"/>
          <w:bCs/>
          <w:sz w:val="28"/>
          <w:szCs w:val="28"/>
          <w:lang w:eastAsia="zh-CN"/>
        </w:rPr>
        <w:t>。</w:t>
      </w:r>
    </w:p>
    <w:p>
      <w:pPr>
        <w:spacing w:line="360" w:lineRule="auto"/>
        <w:rPr>
          <w:rFonts w:hint="eastAsia"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、成交供应商拒绝与采购人签订合同的，采购人可以按照评审报告推荐的成交候选人名单排序，确定下一候选人为成交供应商，也可以重新开展采购活动。</w:t>
      </w: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tbl>
      <w:tblPr>
        <w:tblStyle w:val="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1344"/>
        <w:gridCol w:w="4798"/>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内容</w:t>
            </w:r>
          </w:p>
        </w:tc>
        <w:tc>
          <w:tcPr>
            <w:tcW w:w="1344" w:type="dxa"/>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评分因素分项</w:t>
            </w:r>
          </w:p>
        </w:tc>
        <w:tc>
          <w:tcPr>
            <w:tcW w:w="4798" w:type="dxa"/>
            <w:tcBorders>
              <w:top w:val="single" w:color="auto" w:sz="4" w:space="0"/>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评分标准</w:t>
            </w:r>
          </w:p>
        </w:tc>
        <w:tc>
          <w:tcPr>
            <w:tcW w:w="138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03" w:type="dxa"/>
            <w:tcBorders>
              <w:top w:val="nil"/>
              <w:left w:val="single" w:color="auto" w:sz="4" w:space="0"/>
              <w:bottom w:val="single" w:color="auto" w:sz="4" w:space="0"/>
              <w:right w:val="nil"/>
            </w:tcBorders>
            <w:vAlign w:val="center"/>
          </w:tcPr>
          <w:p>
            <w:pPr>
              <w:widowControl/>
              <w:spacing w:line="3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价格部分（10分）</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价格</w:t>
            </w:r>
          </w:p>
        </w:tc>
        <w:tc>
          <w:tcPr>
            <w:tcW w:w="4798" w:type="dxa"/>
            <w:tcBorders>
              <w:top w:val="single" w:color="auto" w:sz="4" w:space="0"/>
              <w:left w:val="nil"/>
              <w:bottom w:val="single" w:color="auto" w:sz="4" w:space="0"/>
              <w:right w:val="single" w:color="auto" w:sz="4" w:space="0"/>
            </w:tcBorders>
            <w:vAlign w:val="center"/>
          </w:tcPr>
          <w:p>
            <w:pPr>
              <w:widowControl/>
              <w:spacing w:line="3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报价得分=（评标基准价/报价）×价格权值×100</w:t>
            </w:r>
          </w:p>
        </w:tc>
        <w:tc>
          <w:tcPr>
            <w:tcW w:w="1383"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03" w:type="dxa"/>
            <w:vMerge w:val="restart"/>
            <w:tcBorders>
              <w:top w:val="nil"/>
              <w:left w:val="single" w:color="auto" w:sz="4" w:space="0"/>
              <w:bottom w:val="single" w:color="auto" w:sz="4" w:space="0"/>
              <w:right w:val="nil"/>
            </w:tcBorders>
            <w:vAlign w:val="center"/>
          </w:tcPr>
          <w:p>
            <w:pPr>
              <w:widowControl/>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30分</w:t>
            </w:r>
            <w:r>
              <w:rPr>
                <w:rFonts w:hint="eastAsia" w:ascii="宋体" w:hAnsi="宋体" w:eastAsia="宋体" w:cs="宋体"/>
                <w:color w:val="auto"/>
                <w:sz w:val="21"/>
                <w:szCs w:val="21"/>
                <w:highlight w:val="none"/>
                <w:lang w:eastAsia="zh-CN"/>
              </w:rPr>
              <w:t>）</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供应商基本情况</w:t>
            </w:r>
          </w:p>
          <w:p>
            <w:pPr>
              <w:widowControl/>
              <w:spacing w:line="300" w:lineRule="exact"/>
              <w:jc w:val="center"/>
              <w:rPr>
                <w:rFonts w:ascii="仿宋" w:hAnsi="仿宋" w:eastAsia="仿宋" w:cs="宋体"/>
                <w:kern w:val="0"/>
                <w:sz w:val="18"/>
                <w:szCs w:val="18"/>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分）</w:t>
            </w:r>
          </w:p>
        </w:tc>
        <w:tc>
          <w:tcPr>
            <w:tcW w:w="4798" w:type="dxa"/>
            <w:tcBorders>
              <w:top w:val="single" w:color="auto" w:sz="4" w:space="0"/>
              <w:left w:val="nil"/>
              <w:bottom w:val="single" w:color="auto" w:sz="4" w:space="0"/>
              <w:right w:val="single" w:color="auto" w:sz="4" w:space="0"/>
            </w:tcBorders>
            <w:vAlign w:val="center"/>
          </w:tcPr>
          <w:p>
            <w:pPr>
              <w:widowControl/>
              <w:spacing w:line="300" w:lineRule="exact"/>
              <w:rPr>
                <w:rFonts w:hint="eastAsia" w:ascii="仿宋" w:hAnsi="仿宋" w:eastAsia="仿宋" w:cs="宋体"/>
                <w:kern w:val="0"/>
                <w:sz w:val="18"/>
                <w:szCs w:val="18"/>
              </w:rPr>
            </w:pPr>
            <w:r>
              <w:rPr>
                <w:rFonts w:hint="eastAsia" w:ascii="宋体" w:hAnsi="宋体" w:cs="宋体"/>
                <w:color w:val="auto"/>
                <w:sz w:val="21"/>
                <w:szCs w:val="21"/>
                <w:highlight w:val="none"/>
              </w:rPr>
              <w:t>综合考虑</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技术状况、履约能力等(包括机构业务范围、行业等级评定</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既往业务经验与本项目的匹配程度</w:t>
            </w:r>
            <w:r>
              <w:rPr>
                <w:rFonts w:hint="eastAsia" w:ascii="宋体" w:hAnsi="宋体" w:cs="宋体"/>
                <w:color w:val="auto"/>
                <w:sz w:val="21"/>
                <w:szCs w:val="21"/>
                <w:highlight w:val="none"/>
              </w:rPr>
              <w:t>等)。（横向比较，最优得</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分、一般得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分、较差得0分）</w:t>
            </w:r>
          </w:p>
        </w:tc>
        <w:tc>
          <w:tcPr>
            <w:tcW w:w="1383"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center"/>
              <w:rPr>
                <w:rFonts w:hint="eastAsia" w:ascii="宋体" w:hAnsi="宋体" w:eastAsia="宋体" w:cs="宋体"/>
                <w:color w:val="auto"/>
                <w:sz w:val="21"/>
                <w:szCs w:val="21"/>
                <w:highlight w:val="none"/>
              </w:rPr>
            </w:pPr>
          </w:p>
        </w:tc>
        <w:tc>
          <w:tcPr>
            <w:tcW w:w="1344"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供应商的业绩</w:t>
            </w:r>
          </w:p>
          <w:p>
            <w:pPr>
              <w:widowControl/>
              <w:spacing w:line="300" w:lineRule="exact"/>
              <w:jc w:val="center"/>
              <w:rPr>
                <w:rFonts w:ascii="仿宋" w:hAnsi="仿宋" w:eastAsia="仿宋" w:cs="宋体"/>
                <w:kern w:val="0"/>
                <w:sz w:val="18"/>
                <w:szCs w:val="18"/>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tc>
        <w:tc>
          <w:tcPr>
            <w:tcW w:w="4798" w:type="dxa"/>
            <w:tcBorders>
              <w:top w:val="nil"/>
              <w:left w:val="nil"/>
              <w:bottom w:val="single" w:color="auto" w:sz="4" w:space="0"/>
              <w:right w:val="single" w:color="auto" w:sz="4" w:space="0"/>
            </w:tcBorders>
            <w:vAlign w:val="center"/>
          </w:tcPr>
          <w:p>
            <w:pPr>
              <w:widowControl/>
              <w:spacing w:line="300" w:lineRule="exact"/>
              <w:rPr>
                <w:rFonts w:ascii="仿宋" w:hAnsi="仿宋" w:eastAsia="仿宋" w:cs="宋体"/>
                <w:kern w:val="0"/>
                <w:sz w:val="18"/>
                <w:szCs w:val="18"/>
              </w:rPr>
            </w:pPr>
            <w:r>
              <w:rPr>
                <w:rFonts w:hint="eastAsia" w:ascii="宋体" w:hAnsi="宋体"/>
                <w:color w:val="auto"/>
                <w:sz w:val="21"/>
                <w:szCs w:val="21"/>
                <w:highlight w:val="none"/>
                <w:vertAlign w:val="baseline"/>
              </w:rPr>
              <w:t>综合考虑供应商2023年1月起至本采购活动遴选公告发布之日，承担过同类项目业绩，每提供1个业绩得3分，本项最高得1</w:t>
            </w:r>
            <w:r>
              <w:rPr>
                <w:rFonts w:hint="eastAsia" w:ascii="宋体" w:hAnsi="宋体" w:eastAsia="宋体" w:cs="Times New Roman"/>
                <w:color w:val="auto"/>
                <w:sz w:val="21"/>
                <w:szCs w:val="21"/>
                <w:highlight w:val="none"/>
                <w:vertAlign w:val="baseline"/>
                <w:lang w:val="en-US" w:eastAsia="zh-CN"/>
              </w:rPr>
              <w:t>5</w:t>
            </w:r>
            <w:r>
              <w:rPr>
                <w:rFonts w:hint="eastAsia" w:ascii="宋体" w:hAnsi="宋体" w:eastAsia="宋体" w:cs="Times New Roman"/>
                <w:color w:val="auto"/>
                <w:sz w:val="21"/>
                <w:szCs w:val="21"/>
                <w:highlight w:val="none"/>
                <w:vertAlign w:val="baseline"/>
              </w:rPr>
              <w:t>分。（须提供合同首页、标的页、盖章页复印件盖公章或中标通知书）。未按要求提供完整资料的不得分</w:t>
            </w:r>
            <w:r>
              <w:rPr>
                <w:rFonts w:hint="eastAsia" w:ascii="宋体" w:hAnsi="宋体" w:eastAsia="宋体" w:cs="Times New Roman"/>
                <w:color w:val="auto"/>
                <w:sz w:val="21"/>
                <w:szCs w:val="21"/>
                <w:highlight w:val="none"/>
                <w:vertAlign w:val="baseline"/>
                <w:lang w:eastAsia="zh-CN"/>
              </w:rPr>
              <w:t>。</w:t>
            </w:r>
          </w:p>
        </w:tc>
        <w:tc>
          <w:tcPr>
            <w:tcW w:w="1383" w:type="dxa"/>
            <w:tcBorders>
              <w:top w:val="nil"/>
              <w:left w:val="nil"/>
              <w:bottom w:val="single" w:color="auto" w:sz="4" w:space="0"/>
              <w:right w:val="single" w:color="auto" w:sz="4" w:space="0"/>
            </w:tcBorders>
            <w:vAlign w:val="center"/>
          </w:tcPr>
          <w:p>
            <w:pPr>
              <w:widowControl/>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center"/>
              <w:rPr>
                <w:rFonts w:hint="eastAsia" w:ascii="宋体" w:hAnsi="宋体" w:eastAsia="宋体" w:cs="宋体"/>
                <w:color w:val="auto"/>
                <w:sz w:val="21"/>
                <w:szCs w:val="21"/>
                <w:highlight w:val="none"/>
              </w:rPr>
            </w:pPr>
          </w:p>
        </w:tc>
        <w:tc>
          <w:tcPr>
            <w:tcW w:w="1344"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项目人员配备</w:t>
            </w:r>
          </w:p>
          <w:p>
            <w:pPr>
              <w:widowControl/>
              <w:spacing w:line="300" w:lineRule="exact"/>
              <w:jc w:val="center"/>
              <w:rPr>
                <w:rFonts w:ascii="仿宋" w:hAnsi="仿宋" w:eastAsia="仿宋" w:cs="宋体"/>
                <w:kern w:val="0"/>
                <w:sz w:val="18"/>
                <w:szCs w:val="18"/>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分）</w:t>
            </w:r>
          </w:p>
        </w:tc>
        <w:tc>
          <w:tcPr>
            <w:tcW w:w="4798" w:type="dxa"/>
            <w:tcBorders>
              <w:top w:val="nil"/>
              <w:left w:val="nil"/>
              <w:bottom w:val="single" w:color="auto" w:sz="4" w:space="0"/>
              <w:right w:val="single" w:color="auto" w:sz="4" w:space="0"/>
            </w:tcBorders>
            <w:vAlign w:val="center"/>
          </w:tcPr>
          <w:p>
            <w:pPr>
              <w:pStyle w:val="21"/>
              <w:numPr>
                <w:ilvl w:val="0"/>
                <w:numId w:val="0"/>
              </w:numPr>
              <w:ind w:leftChars="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投入本项目人员配置的合理性（专业匹配、岗位设置、稳定性等）0-</w:t>
            </w:r>
            <w:r>
              <w:rPr>
                <w:rFonts w:hint="eastAsia" w:cs="宋体"/>
                <w:color w:val="auto"/>
                <w:kern w:val="2"/>
                <w:sz w:val="21"/>
                <w:szCs w:val="21"/>
                <w:highlight w:val="none"/>
                <w:lang w:val="en-US" w:eastAsia="zh-CN"/>
              </w:rPr>
              <w:t>7</w:t>
            </w:r>
            <w:r>
              <w:rPr>
                <w:rFonts w:hint="eastAsia" w:ascii="宋体" w:hAnsi="宋体" w:cs="宋体"/>
                <w:color w:val="auto"/>
                <w:kern w:val="2"/>
                <w:sz w:val="21"/>
                <w:szCs w:val="21"/>
                <w:highlight w:val="none"/>
              </w:rPr>
              <w:t>分</w:t>
            </w:r>
          </w:p>
          <w:p>
            <w:pPr>
              <w:pStyle w:val="22"/>
              <w:ind w:left="106" w:right="96"/>
              <w:rPr>
                <w:color w:val="auto"/>
                <w:sz w:val="21"/>
                <w:szCs w:val="21"/>
                <w:highlight w:val="none"/>
                <w:lang w:eastAsia="zh-CN"/>
              </w:rPr>
            </w:pPr>
            <w:r>
              <w:rPr>
                <w:rFonts w:hint="eastAsia"/>
                <w:color w:val="auto"/>
                <w:sz w:val="21"/>
                <w:szCs w:val="21"/>
                <w:highlight w:val="none"/>
                <w:lang w:eastAsia="zh-CN"/>
              </w:rPr>
              <w:t>拟派本项目的人员的专业匹配及人员岗位配备完善、合理，经验丰富，针对性强，得</w:t>
            </w:r>
            <w:r>
              <w:rPr>
                <w:rFonts w:hint="eastAsia"/>
                <w:color w:val="auto"/>
                <w:sz w:val="21"/>
                <w:szCs w:val="21"/>
                <w:highlight w:val="none"/>
                <w:lang w:val="en-US" w:eastAsia="zh-CN"/>
              </w:rPr>
              <w:t>7-6</w:t>
            </w:r>
            <w:r>
              <w:rPr>
                <w:rFonts w:hint="eastAsia"/>
                <w:color w:val="auto"/>
                <w:sz w:val="21"/>
                <w:szCs w:val="21"/>
                <w:highlight w:val="none"/>
                <w:lang w:eastAsia="zh-CN"/>
              </w:rPr>
              <w:t>分；</w:t>
            </w:r>
          </w:p>
          <w:p>
            <w:pPr>
              <w:pStyle w:val="22"/>
              <w:ind w:left="106" w:right="96"/>
              <w:rPr>
                <w:color w:val="auto"/>
                <w:sz w:val="21"/>
                <w:szCs w:val="21"/>
                <w:highlight w:val="none"/>
                <w:lang w:eastAsia="zh-CN"/>
              </w:rPr>
            </w:pPr>
            <w:r>
              <w:rPr>
                <w:rFonts w:hint="eastAsia"/>
                <w:color w:val="auto"/>
                <w:sz w:val="21"/>
                <w:szCs w:val="21"/>
                <w:highlight w:val="none"/>
                <w:lang w:eastAsia="zh-CN"/>
              </w:rPr>
              <w:t>拟派本项目的人员的专业匹配及人员岗位配备较完善、较合理，经验较为丰富，有一定得针对性，得</w:t>
            </w:r>
            <w:r>
              <w:rPr>
                <w:rFonts w:hint="eastAsia"/>
                <w:color w:val="auto"/>
                <w:sz w:val="21"/>
                <w:szCs w:val="21"/>
                <w:highlight w:val="none"/>
                <w:lang w:val="en-US" w:eastAsia="zh-CN"/>
              </w:rPr>
              <w:t>5-4</w:t>
            </w:r>
            <w:r>
              <w:rPr>
                <w:rFonts w:hint="eastAsia"/>
                <w:color w:val="auto"/>
                <w:sz w:val="21"/>
                <w:szCs w:val="21"/>
                <w:highlight w:val="none"/>
                <w:lang w:eastAsia="zh-CN"/>
              </w:rPr>
              <w:t>分；</w:t>
            </w:r>
          </w:p>
          <w:p>
            <w:pPr>
              <w:pStyle w:val="22"/>
              <w:ind w:left="106" w:right="96"/>
              <w:rPr>
                <w:color w:val="auto"/>
                <w:sz w:val="21"/>
                <w:szCs w:val="21"/>
                <w:highlight w:val="none"/>
                <w:lang w:eastAsia="zh-CN"/>
              </w:rPr>
            </w:pPr>
            <w:r>
              <w:rPr>
                <w:rFonts w:hint="eastAsia"/>
                <w:color w:val="auto"/>
                <w:sz w:val="21"/>
                <w:szCs w:val="21"/>
                <w:highlight w:val="none"/>
                <w:lang w:eastAsia="zh-CN"/>
              </w:rPr>
              <w:t>拟派本项目的人员的专业匹配及人员岗位配备基</w:t>
            </w:r>
            <w:r>
              <w:rPr>
                <w:rFonts w:hint="eastAsia"/>
                <w:color w:val="auto"/>
                <w:spacing w:val="-8"/>
                <w:sz w:val="21"/>
                <w:szCs w:val="21"/>
                <w:highlight w:val="none"/>
                <w:lang w:eastAsia="zh-CN"/>
              </w:rPr>
              <w:t>本完善、基本合理，经验一般，针对性不强，得</w:t>
            </w:r>
            <w:r>
              <w:rPr>
                <w:rFonts w:hint="eastAsia"/>
                <w:color w:val="auto"/>
                <w:sz w:val="21"/>
                <w:szCs w:val="21"/>
                <w:highlight w:val="none"/>
                <w:lang w:val="en-US" w:eastAsia="zh-CN"/>
              </w:rPr>
              <w:t>3-2</w:t>
            </w:r>
            <w:r>
              <w:rPr>
                <w:rFonts w:hint="eastAsia"/>
                <w:color w:val="auto"/>
                <w:spacing w:val="-19"/>
                <w:sz w:val="21"/>
                <w:szCs w:val="21"/>
                <w:highlight w:val="none"/>
                <w:lang w:eastAsia="zh-CN"/>
              </w:rPr>
              <w:t>分；</w:t>
            </w:r>
          </w:p>
          <w:p>
            <w:pPr>
              <w:pStyle w:val="22"/>
              <w:spacing w:before="4"/>
              <w:ind w:left="106" w:right="96"/>
              <w:rPr>
                <w:color w:val="auto"/>
                <w:sz w:val="21"/>
                <w:szCs w:val="21"/>
                <w:highlight w:val="none"/>
                <w:lang w:eastAsia="zh-CN"/>
              </w:rPr>
            </w:pPr>
            <w:r>
              <w:rPr>
                <w:rFonts w:hint="eastAsia"/>
                <w:color w:val="auto"/>
                <w:sz w:val="21"/>
                <w:szCs w:val="21"/>
                <w:highlight w:val="none"/>
                <w:lang w:eastAsia="zh-CN"/>
              </w:rPr>
              <w:t>拟派本项目的人员的专业匹配及人员岗位配备不</w:t>
            </w:r>
            <w:r>
              <w:rPr>
                <w:rFonts w:hint="eastAsia"/>
                <w:color w:val="auto"/>
                <w:spacing w:val="-8"/>
                <w:sz w:val="21"/>
                <w:szCs w:val="21"/>
                <w:highlight w:val="none"/>
                <w:lang w:eastAsia="zh-CN"/>
              </w:rPr>
              <w:t>够完善、不够合理，不太具有针对性，得</w:t>
            </w:r>
            <w:r>
              <w:rPr>
                <w:rFonts w:hint="eastAsia"/>
                <w:color w:val="auto"/>
                <w:spacing w:val="-8"/>
                <w:sz w:val="21"/>
                <w:szCs w:val="21"/>
                <w:highlight w:val="none"/>
                <w:lang w:val="en-US" w:eastAsia="zh-CN"/>
              </w:rPr>
              <w:t>1</w:t>
            </w:r>
            <w:r>
              <w:rPr>
                <w:rFonts w:hint="eastAsia"/>
                <w:color w:val="auto"/>
                <w:spacing w:val="-19"/>
                <w:sz w:val="21"/>
                <w:szCs w:val="21"/>
                <w:highlight w:val="none"/>
                <w:lang w:eastAsia="zh-CN"/>
              </w:rPr>
              <w:t>分；</w:t>
            </w:r>
          </w:p>
          <w:p>
            <w:pPr>
              <w:pStyle w:val="21"/>
              <w:ind w:firstLine="210" w:firstLineChars="100"/>
              <w:jc w:val="both"/>
              <w:rPr>
                <w:rFonts w:ascii="仿宋" w:hAnsi="仿宋" w:eastAsia="仿宋" w:cs="宋体"/>
                <w:color w:val="000000"/>
                <w:kern w:val="0"/>
                <w:sz w:val="18"/>
                <w:szCs w:val="18"/>
              </w:rPr>
            </w:pPr>
            <w:r>
              <w:rPr>
                <w:rFonts w:hint="eastAsia" w:ascii="宋体" w:hAnsi="宋体" w:cs="宋体"/>
                <w:color w:val="auto"/>
                <w:sz w:val="21"/>
                <w:szCs w:val="21"/>
                <w:highlight w:val="none"/>
              </w:rPr>
              <w:t>不提供不得分。</w:t>
            </w:r>
          </w:p>
        </w:tc>
        <w:tc>
          <w:tcPr>
            <w:tcW w:w="1383"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restart"/>
            <w:tcBorders>
              <w:top w:val="nil"/>
              <w:left w:val="single" w:color="auto" w:sz="4" w:space="0"/>
              <w:right w:val="single" w:color="auto" w:sz="4" w:space="0"/>
            </w:tcBorders>
            <w:vAlign w:val="center"/>
          </w:tcPr>
          <w:p>
            <w:pPr>
              <w:widowControl/>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0分）</w:t>
            </w:r>
          </w:p>
        </w:tc>
        <w:tc>
          <w:tcPr>
            <w:tcW w:w="1344" w:type="dxa"/>
            <w:tcBorders>
              <w:top w:val="nil"/>
              <w:left w:val="nil"/>
              <w:bottom w:val="single" w:color="auto" w:sz="4" w:space="0"/>
              <w:right w:val="single" w:color="auto" w:sz="4" w:space="0"/>
            </w:tcBorders>
            <w:vAlign w:val="center"/>
          </w:tcPr>
          <w:p>
            <w:pPr>
              <w:widowControl/>
              <w:spacing w:line="300" w:lineRule="exact"/>
              <w:jc w:val="center"/>
              <w:rPr>
                <w:rFonts w:ascii="仿宋" w:hAnsi="仿宋" w:eastAsia="仿宋" w:cs="宋体"/>
                <w:kern w:val="0"/>
                <w:sz w:val="18"/>
                <w:szCs w:val="18"/>
              </w:rPr>
            </w:pPr>
            <w:r>
              <w:rPr>
                <w:rFonts w:hint="eastAsia" w:ascii="宋体" w:hAnsi="宋体" w:cs="宋体"/>
                <w:color w:val="auto"/>
                <w:sz w:val="21"/>
                <w:szCs w:val="21"/>
                <w:highlight w:val="none"/>
              </w:rPr>
              <w:t>实施方案内容与工作方法（</w:t>
            </w:r>
            <w:r>
              <w:rPr>
                <w:rFonts w:hint="eastAsia" w:ascii="宋体" w:hAnsi="宋体" w:cs="宋体"/>
                <w:color w:val="auto"/>
                <w:sz w:val="21"/>
                <w:szCs w:val="21"/>
                <w:highlight w:val="none"/>
                <w:lang w:val="en-US" w:eastAsia="zh-CN"/>
              </w:rPr>
              <w:t>40</w:t>
            </w:r>
            <w:r>
              <w:rPr>
                <w:rFonts w:hint="eastAsia" w:ascii="宋体" w:hAnsi="宋体" w:cs="宋体"/>
                <w:color w:val="auto"/>
                <w:sz w:val="21"/>
                <w:szCs w:val="21"/>
                <w:highlight w:val="none"/>
              </w:rPr>
              <w:t>分）</w:t>
            </w:r>
          </w:p>
        </w:tc>
        <w:tc>
          <w:tcPr>
            <w:tcW w:w="4798" w:type="dxa"/>
            <w:tcBorders>
              <w:top w:val="nil"/>
              <w:left w:val="nil"/>
              <w:bottom w:val="single" w:color="auto" w:sz="4" w:space="0"/>
              <w:right w:val="single" w:color="auto" w:sz="4" w:space="0"/>
            </w:tcBorders>
            <w:vAlign w:val="center"/>
          </w:tcPr>
          <w:p>
            <w:pPr>
              <w:widowControl/>
              <w:spacing w:line="300" w:lineRule="exact"/>
              <w:rPr>
                <w:rFonts w:ascii="仿宋" w:hAnsi="仿宋" w:eastAsia="仿宋" w:cs="宋体"/>
                <w:color w:val="000000"/>
                <w:kern w:val="0"/>
                <w:sz w:val="18"/>
                <w:szCs w:val="18"/>
              </w:rPr>
            </w:pPr>
            <w:r>
              <w:rPr>
                <w:rFonts w:hint="eastAsia" w:ascii="宋体" w:hAnsi="宋体" w:cs="宋体"/>
                <w:color w:val="auto"/>
                <w:sz w:val="21"/>
                <w:szCs w:val="21"/>
                <w:highlight w:val="none"/>
              </w:rPr>
              <w:t>项目实施方案编制思路清晰、目标明确、条理严谨，实施方案对项目结果的最终实现具有良好的支撑性，符合遴选工作任务要求，预期成果及技术路线完备。优秀的，得</w:t>
            </w:r>
            <w:r>
              <w:rPr>
                <w:rFonts w:hint="eastAsia" w:ascii="宋体" w:hAnsi="宋体" w:cs="宋体"/>
                <w:color w:val="auto"/>
                <w:sz w:val="21"/>
                <w:szCs w:val="21"/>
                <w:highlight w:val="none"/>
                <w:lang w:val="en-US" w:eastAsia="zh-CN"/>
              </w:rPr>
              <w:t>40-31</w:t>
            </w:r>
            <w:r>
              <w:rPr>
                <w:rFonts w:hint="eastAsia" w:ascii="宋体" w:hAnsi="宋体" w:cs="宋体"/>
                <w:color w:val="auto"/>
                <w:sz w:val="21"/>
                <w:szCs w:val="21"/>
                <w:highlight w:val="none"/>
              </w:rPr>
              <w:t>分；良好的，得</w:t>
            </w:r>
            <w:r>
              <w:rPr>
                <w:rFonts w:hint="eastAsia" w:ascii="宋体" w:hAnsi="宋体" w:cs="宋体"/>
                <w:color w:val="auto"/>
                <w:sz w:val="21"/>
                <w:szCs w:val="21"/>
                <w:highlight w:val="none"/>
                <w:lang w:val="en-US" w:eastAsia="zh-CN"/>
              </w:rPr>
              <w:t>30-21</w:t>
            </w:r>
            <w:r>
              <w:rPr>
                <w:rFonts w:hint="eastAsia" w:ascii="宋体" w:hAnsi="宋体" w:cs="宋体"/>
                <w:color w:val="auto"/>
                <w:sz w:val="21"/>
                <w:szCs w:val="21"/>
                <w:highlight w:val="none"/>
              </w:rPr>
              <w:t>分；一般的，得</w:t>
            </w:r>
            <w:r>
              <w:rPr>
                <w:rFonts w:hint="eastAsia" w:ascii="宋体" w:hAnsi="宋体" w:cs="宋体"/>
                <w:color w:val="auto"/>
                <w:sz w:val="21"/>
                <w:szCs w:val="21"/>
                <w:highlight w:val="none"/>
                <w:lang w:val="en-US" w:eastAsia="zh-CN"/>
              </w:rPr>
              <w:t>20-11</w:t>
            </w:r>
            <w:r>
              <w:rPr>
                <w:rFonts w:hint="eastAsia" w:ascii="宋体" w:hAnsi="宋体" w:cs="宋体"/>
                <w:color w:val="auto"/>
                <w:sz w:val="21"/>
                <w:szCs w:val="21"/>
                <w:highlight w:val="none"/>
              </w:rPr>
              <w:t>分；较差的，得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0</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分。</w:t>
            </w:r>
          </w:p>
        </w:tc>
        <w:tc>
          <w:tcPr>
            <w:tcW w:w="1383" w:type="dxa"/>
            <w:tcBorders>
              <w:top w:val="nil"/>
              <w:left w:val="nil"/>
              <w:bottom w:val="single" w:color="auto" w:sz="4" w:space="0"/>
              <w:right w:val="single" w:color="auto" w:sz="4" w:space="0"/>
            </w:tcBorders>
            <w:vAlign w:val="center"/>
          </w:tcPr>
          <w:p>
            <w:pPr>
              <w:widowControl/>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left w:val="single" w:color="auto" w:sz="4" w:space="0"/>
              <w:right w:val="single" w:color="auto" w:sz="4" w:space="0"/>
            </w:tcBorders>
            <w:vAlign w:val="center"/>
          </w:tcPr>
          <w:p>
            <w:pPr>
              <w:spacing w:line="0" w:lineRule="atLeast"/>
              <w:jc w:val="center"/>
              <w:rPr>
                <w:rFonts w:hint="eastAsia"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进度保障</w:t>
            </w:r>
            <w:r>
              <w:rPr>
                <w:rFonts w:hint="eastAsia" w:ascii="宋体" w:hAnsi="宋体" w:cs="宋体"/>
                <w:color w:val="auto"/>
                <w:sz w:val="21"/>
                <w:szCs w:val="21"/>
                <w:highlight w:val="none"/>
              </w:rPr>
              <w:t>措施</w:t>
            </w:r>
          </w:p>
          <w:p>
            <w:pPr>
              <w:widowControl/>
              <w:spacing w:line="300" w:lineRule="exact"/>
              <w:jc w:val="center"/>
              <w:rPr>
                <w:rFonts w:hint="eastAsia" w:ascii="仿宋" w:hAnsi="仿宋" w:eastAsia="仿宋" w:cs="宋体"/>
                <w:kern w:val="0"/>
                <w:sz w:val="18"/>
                <w:szCs w:val="18"/>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分）</w:t>
            </w:r>
          </w:p>
        </w:tc>
        <w:tc>
          <w:tcPr>
            <w:tcW w:w="4798" w:type="dxa"/>
            <w:tcBorders>
              <w:top w:val="nil"/>
              <w:left w:val="nil"/>
              <w:bottom w:val="single" w:color="auto" w:sz="4" w:space="0"/>
              <w:right w:val="single" w:color="auto" w:sz="4" w:space="0"/>
            </w:tcBorders>
            <w:vAlign w:val="center"/>
          </w:tcPr>
          <w:p>
            <w:pPr>
              <w:widowControl/>
              <w:spacing w:line="300" w:lineRule="exact"/>
              <w:rPr>
                <w:rFonts w:hint="eastAsia" w:ascii="仿宋" w:hAnsi="仿宋" w:eastAsia="仿宋" w:cs="宋体"/>
                <w:color w:val="000000"/>
                <w:kern w:val="0"/>
                <w:sz w:val="18"/>
                <w:szCs w:val="18"/>
              </w:rPr>
            </w:pPr>
            <w:r>
              <w:rPr>
                <w:rFonts w:hint="eastAsia" w:ascii="宋体" w:hAnsi="宋体" w:cs="宋体"/>
                <w:color w:val="auto"/>
                <w:sz w:val="21"/>
                <w:szCs w:val="21"/>
                <w:highlight w:val="none"/>
              </w:rPr>
              <w:t>服务进度保障方案</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包含进度计划和进度保障措施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，保证服务按时完成</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详细阐述且满足采购实际需求得</w:t>
            </w:r>
            <w:r>
              <w:rPr>
                <w:rFonts w:hint="eastAsia" w:ascii="宋体" w:hAnsi="宋体" w:cs="宋体"/>
                <w:color w:val="auto"/>
                <w:sz w:val="21"/>
                <w:szCs w:val="21"/>
                <w:highlight w:val="none"/>
                <w:lang w:val="en-US" w:eastAsia="zh-CN"/>
              </w:rPr>
              <w:t>10-6</w:t>
            </w:r>
            <w:r>
              <w:rPr>
                <w:rFonts w:hint="eastAsia" w:ascii="宋体" w:hAnsi="宋体" w:cs="宋体"/>
                <w:color w:val="auto"/>
                <w:sz w:val="21"/>
                <w:szCs w:val="21"/>
                <w:highlight w:val="none"/>
              </w:rPr>
              <w:t>分；虽阐述但未贴合实际情况得</w:t>
            </w:r>
            <w:r>
              <w:rPr>
                <w:rFonts w:hint="eastAsia" w:ascii="宋体" w:hAnsi="宋体" w:cs="宋体"/>
                <w:color w:val="auto"/>
                <w:sz w:val="21"/>
                <w:szCs w:val="21"/>
                <w:highlight w:val="none"/>
                <w:lang w:val="en-US" w:eastAsia="zh-CN"/>
              </w:rPr>
              <w:t>5-1</w:t>
            </w:r>
            <w:r>
              <w:rPr>
                <w:rFonts w:hint="eastAsia" w:ascii="宋体" w:hAnsi="宋体" w:cs="宋体"/>
                <w:color w:val="auto"/>
                <w:sz w:val="21"/>
                <w:szCs w:val="21"/>
                <w:highlight w:val="none"/>
              </w:rPr>
              <w:t>分；阐述不清或者不贴合本项目采购需求得0分。</w:t>
            </w:r>
          </w:p>
        </w:tc>
        <w:tc>
          <w:tcPr>
            <w:tcW w:w="1383" w:type="dxa"/>
            <w:tcBorders>
              <w:top w:val="nil"/>
              <w:left w:val="nil"/>
              <w:bottom w:val="single" w:color="auto" w:sz="4" w:space="0"/>
              <w:right w:val="single" w:color="auto" w:sz="4" w:space="0"/>
            </w:tcBorders>
            <w:vAlign w:val="center"/>
          </w:tcPr>
          <w:p>
            <w:pPr>
              <w:widowControl/>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left w:val="single" w:color="auto" w:sz="4" w:space="0"/>
              <w:right w:val="single" w:color="auto" w:sz="4" w:space="0"/>
            </w:tcBorders>
            <w:vAlign w:val="center"/>
          </w:tcPr>
          <w:p>
            <w:pPr>
              <w:spacing w:line="0" w:lineRule="atLeast"/>
              <w:jc w:val="center"/>
              <w:rPr>
                <w:rFonts w:hint="eastAsia"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服务承诺（</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tc>
        <w:tc>
          <w:tcPr>
            <w:tcW w:w="4798" w:type="dxa"/>
            <w:tcBorders>
              <w:top w:val="nil"/>
              <w:left w:val="nil"/>
              <w:bottom w:val="single" w:color="auto" w:sz="4" w:space="0"/>
              <w:right w:val="single" w:color="auto" w:sz="4" w:space="0"/>
            </w:tcBorders>
            <w:vAlign w:val="center"/>
          </w:tcPr>
          <w:p>
            <w:pPr>
              <w:widowControl/>
              <w:spacing w:line="3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供应商须提供沟通机制，内容包括①服务人员安排②沟通方案，要求有专人定期沟通，配合。优秀的，得</w:t>
            </w:r>
            <w:r>
              <w:rPr>
                <w:rFonts w:hint="eastAsia" w:ascii="宋体" w:hAnsi="宋体" w:cs="宋体"/>
                <w:color w:val="auto"/>
                <w:sz w:val="21"/>
                <w:szCs w:val="21"/>
                <w:highlight w:val="none"/>
                <w:lang w:val="en-US" w:eastAsia="zh-CN"/>
              </w:rPr>
              <w:t>10-8</w:t>
            </w:r>
            <w:r>
              <w:rPr>
                <w:rFonts w:hint="eastAsia" w:ascii="宋体" w:hAnsi="宋体" w:cs="宋体"/>
                <w:color w:val="auto"/>
                <w:sz w:val="21"/>
                <w:szCs w:val="21"/>
                <w:highlight w:val="none"/>
              </w:rPr>
              <w:t>分；良好的，得</w:t>
            </w:r>
            <w:r>
              <w:rPr>
                <w:rFonts w:hint="eastAsia" w:ascii="宋体" w:hAnsi="宋体" w:cs="宋体"/>
                <w:color w:val="auto"/>
                <w:sz w:val="21"/>
                <w:szCs w:val="21"/>
                <w:highlight w:val="none"/>
                <w:lang w:val="en-US" w:eastAsia="zh-CN"/>
              </w:rPr>
              <w:t>7-5</w:t>
            </w:r>
            <w:r>
              <w:rPr>
                <w:rFonts w:hint="eastAsia" w:ascii="宋体" w:hAnsi="宋体" w:cs="宋体"/>
                <w:color w:val="auto"/>
                <w:sz w:val="21"/>
                <w:szCs w:val="21"/>
                <w:highlight w:val="none"/>
              </w:rPr>
              <w:t>分；一般的，得</w:t>
            </w:r>
            <w:r>
              <w:rPr>
                <w:rFonts w:hint="eastAsia" w:ascii="宋体" w:hAnsi="宋体" w:cs="宋体"/>
                <w:color w:val="auto"/>
                <w:sz w:val="21"/>
                <w:szCs w:val="21"/>
                <w:highlight w:val="none"/>
                <w:lang w:val="en-US" w:eastAsia="zh-CN"/>
              </w:rPr>
              <w:t>4-1</w:t>
            </w:r>
            <w:bookmarkStart w:id="0" w:name="_GoBack"/>
            <w:bookmarkEnd w:id="0"/>
            <w:r>
              <w:rPr>
                <w:rFonts w:hint="eastAsia" w:ascii="宋体" w:hAnsi="宋体" w:cs="宋体"/>
                <w:color w:val="auto"/>
                <w:sz w:val="21"/>
                <w:szCs w:val="21"/>
                <w:highlight w:val="none"/>
              </w:rPr>
              <w:t>分；较差的，得0分。</w:t>
            </w:r>
          </w:p>
        </w:tc>
        <w:tc>
          <w:tcPr>
            <w:tcW w:w="1383" w:type="dxa"/>
            <w:tcBorders>
              <w:top w:val="nil"/>
              <w:left w:val="nil"/>
              <w:bottom w:val="single" w:color="auto" w:sz="4" w:space="0"/>
              <w:right w:val="single" w:color="auto" w:sz="4" w:space="0"/>
            </w:tcBorders>
            <w:vAlign w:val="center"/>
          </w:tcPr>
          <w:p>
            <w:pPr>
              <w:widowControl/>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45" w:type="dxa"/>
            <w:gridSpan w:val="3"/>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总分</w:t>
            </w:r>
          </w:p>
        </w:tc>
        <w:tc>
          <w:tcPr>
            <w:tcW w:w="1383"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bl>
    <w:p>
      <w:pPr>
        <w:spacing w:line="360" w:lineRule="auto"/>
        <w:jc w:val="center"/>
        <w:rPr>
          <w:rFonts w:ascii="仿宋" w:hAnsi="仿宋" w:eastAsia="仿宋" w:cs="宋体"/>
          <w:b/>
          <w:bCs/>
          <w:sz w:val="32"/>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WRmNjFmYzEzYzhmMWVhMmIwZmM1OWViN2MwODc5MDAifQ=="/>
  </w:docVars>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06332365"/>
    <w:rsid w:val="0F3E1A51"/>
    <w:rsid w:val="28BA4A28"/>
    <w:rsid w:val="2A021EEC"/>
    <w:rsid w:val="473506D4"/>
    <w:rsid w:val="68A51AEC"/>
    <w:rsid w:val="703F07DD"/>
    <w:rsid w:val="7834054B"/>
    <w:rsid w:val="7F9FEDE7"/>
    <w:rsid w:val="DBF7968F"/>
    <w:rsid w:val="DEBF358E"/>
    <w:rsid w:val="DFBA1A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Calibri" w:hAnsi="Calibri"/>
    </w:rPr>
  </w:style>
  <w:style w:type="paragraph" w:styleId="3">
    <w:name w:val="Body Text Indent"/>
    <w:basedOn w:val="1"/>
    <w:next w:val="1"/>
    <w:semiHidden/>
    <w:unhideWhenUsed/>
    <w:qFormat/>
    <w:uiPriority w:val="99"/>
    <w:pPr>
      <w:spacing w:after="120"/>
      <w:ind w:left="420" w:leftChars="200"/>
    </w:pPr>
  </w:style>
  <w:style w:type="paragraph" w:styleId="4">
    <w:name w:val="annotation text"/>
    <w:basedOn w:val="1"/>
    <w:link w:val="17"/>
    <w:unhideWhenUsed/>
    <w:qFormat/>
    <w:uiPriority w:val="99"/>
    <w:pPr>
      <w:jc w:val="left"/>
    </w:pPr>
  </w:style>
  <w:style w:type="paragraph" w:styleId="5">
    <w:name w:val="Balloon Text"/>
    <w:basedOn w:val="1"/>
    <w:link w:val="19"/>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envelope return"/>
    <w:basedOn w:val="1"/>
    <w:unhideWhenUsed/>
    <w:qFormat/>
    <w:uiPriority w:val="0"/>
    <w:pPr>
      <w:snapToGrid w:val="0"/>
    </w:pPr>
    <w:rPr>
      <w:rFonts w:ascii="Arial" w:hAnsi="Arial"/>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8"/>
    <w:unhideWhenUsed/>
    <w:qFormat/>
    <w:uiPriority w:val="99"/>
    <w:rPr>
      <w:b/>
      <w:bCs/>
    </w:rPr>
  </w:style>
  <w:style w:type="character" w:styleId="12">
    <w:name w:val="annotation reference"/>
    <w:basedOn w:val="11"/>
    <w:unhideWhenUsed/>
    <w:qFormat/>
    <w:uiPriority w:val="99"/>
    <w:rPr>
      <w:sz w:val="21"/>
      <w:szCs w:val="21"/>
    </w:rPr>
  </w:style>
  <w:style w:type="paragraph" w:customStyle="1" w:styleId="13">
    <w:name w:val="List Paragraph"/>
    <w:basedOn w:val="1"/>
    <w:link w:val="16"/>
    <w:qFormat/>
    <w:uiPriority w:val="34"/>
    <w:pPr>
      <w:ind w:firstLine="420" w:firstLineChars="200"/>
    </w:pPr>
    <w:rPr>
      <w:rFonts w:ascii="Calibri" w:hAnsi="Calibri"/>
    </w:rPr>
  </w:style>
  <w:style w:type="character" w:customStyle="1" w:styleId="14">
    <w:name w:val="页眉 Char"/>
    <w:basedOn w:val="11"/>
    <w:link w:val="8"/>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列出段落 Char"/>
    <w:link w:val="13"/>
    <w:qFormat/>
    <w:uiPriority w:val="34"/>
    <w:rPr>
      <w:rFonts w:ascii="Calibri" w:hAnsi="Calibri"/>
    </w:rPr>
  </w:style>
  <w:style w:type="character" w:customStyle="1" w:styleId="17">
    <w:name w:val="批注文字 Char"/>
    <w:basedOn w:val="11"/>
    <w:link w:val="4"/>
    <w:semiHidden/>
    <w:qFormat/>
    <w:uiPriority w:val="99"/>
  </w:style>
  <w:style w:type="character" w:customStyle="1" w:styleId="18">
    <w:name w:val="批注主题 Char"/>
    <w:basedOn w:val="17"/>
    <w:link w:val="9"/>
    <w:semiHidden/>
    <w:qFormat/>
    <w:uiPriority w:val="99"/>
    <w:rPr>
      <w:b/>
      <w:bCs/>
    </w:rPr>
  </w:style>
  <w:style w:type="character" w:customStyle="1" w:styleId="19">
    <w:name w:val="批注框文本 Char"/>
    <w:basedOn w:val="11"/>
    <w:link w:val="5"/>
    <w:semiHidden/>
    <w:qFormat/>
    <w:uiPriority w:val="99"/>
    <w:rPr>
      <w:sz w:val="18"/>
      <w:szCs w:val="18"/>
    </w:rPr>
  </w:style>
  <w:style w:type="paragraph" w:customStyle="1" w:styleId="20">
    <w:name w:val="正文表格"/>
    <w:basedOn w:val="1"/>
    <w:qFormat/>
    <w:uiPriority w:val="0"/>
    <w:pPr>
      <w:adjustRightInd w:val="0"/>
      <w:snapToGrid w:val="0"/>
      <w:jc w:val="left"/>
    </w:pPr>
    <w:rPr>
      <w:rFonts w:ascii="宋体" w:hAnsi="宋体"/>
      <w:color w:val="000000"/>
      <w:szCs w:val="21"/>
    </w:rPr>
  </w:style>
  <w:style w:type="paragraph" w:customStyle="1" w:styleId="2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
    <w:name w:val="Table Paragraph"/>
    <w:basedOn w:val="1"/>
    <w:qFormat/>
    <w:uiPriority w:val="1"/>
    <w:pPr>
      <w:adjustRightInd/>
      <w:spacing w:line="240" w:lineRule="auto"/>
      <w:textAlignment w:val="auto"/>
    </w:pPr>
    <w:rPr>
      <w:sz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1686</Words>
  <Characters>1715</Characters>
  <Lines>15</Lines>
  <Paragraphs>4</Paragraphs>
  <TotalTime>24</TotalTime>
  <ScaleCrop>false</ScaleCrop>
  <LinksUpToDate>false</LinksUpToDate>
  <CharactersWithSpaces>1716</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2022-04-19T20:00:00Z</dcterms:created>
  <dc:creator>强文晓</dc:creator>
  <cp:lastModifiedBy>admin</cp:lastModifiedBy>
  <dcterms:modified xsi:type="dcterms:W3CDTF">2026-03-23T18:21:54Z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E9DF036E6E8A4B939C7F8AAFD271A14B_12</vt:lpwstr>
  </property>
  <property fmtid="{D5CDD505-2E9C-101B-9397-08002B2CF9AE}" pid="4" name="KSOTemplateDocerSaveRecord">
    <vt:lpwstr>eyJoZGlkIjoiMWRmNjFmYzEzYzhmMWVhMmIwZmM1OWViN2MwODc5MDAiLCJ1c2VySWQiOiIxNTkzNzU5MTIyIn0=</vt:lpwstr>
  </property>
</Properties>
</file>