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0" w:lineRule="atLeast"/>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3</w:t>
      </w:r>
    </w:p>
    <w:p>
      <w:pPr>
        <w:pageBreakBefore w:val="0"/>
        <w:wordWrap/>
        <w:topLinePunct w:val="0"/>
        <w:bidi w:val="0"/>
        <w:spacing w:line="0" w:lineRule="atLeast"/>
        <w:jc w:val="center"/>
        <w:rPr>
          <w:rFonts w:hint="eastAsia" w:ascii="黑体" w:hAnsi="黑体" w:eastAsia="黑体" w:cs="黑体"/>
          <w:b w:val="0"/>
          <w:bCs w:val="0"/>
          <w:sz w:val="32"/>
          <w:szCs w:val="28"/>
        </w:rPr>
      </w:pPr>
      <w:r>
        <w:rPr>
          <w:rFonts w:hint="eastAsia" w:ascii="黑体" w:hAnsi="黑体" w:eastAsia="黑体" w:cs="黑体"/>
          <w:b w:val="0"/>
          <w:bCs w:val="0"/>
          <w:sz w:val="32"/>
          <w:szCs w:val="28"/>
        </w:rPr>
        <w:t>申请人须知</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pageBreakBefore w:val="0"/>
        <w:wordWrap/>
        <w:topLinePunct w:val="0"/>
        <w:bidi w:val="0"/>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pageBreakBefore w:val="0"/>
        <w:wordWrap/>
        <w:topLinePunct w:val="0"/>
        <w:bidi w:val="0"/>
        <w:spacing w:line="0" w:lineRule="atLeast"/>
        <w:jc w:val="center"/>
        <w:outlineLvl w:val="1"/>
        <w:rPr>
          <w:rFonts w:hint="eastAsia"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pPr>
              <w:pageBreakBefore w:val="0"/>
              <w:widowControl/>
              <w:wordWrap/>
              <w:topLinePunct w:val="0"/>
              <w:bidi w:val="0"/>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pageBreakBefore w:val="0"/>
        <w:wordWrap/>
        <w:topLinePunct w:val="0"/>
        <w:bidi w:val="0"/>
        <w:spacing w:line="0" w:lineRule="atLeast"/>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pageBreakBefore w:val="0"/>
        <w:wordWrap/>
        <w:topLinePunct w:val="0"/>
        <w:bidi w:val="0"/>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pageBreakBefore w:val="0"/>
        <w:wordWrap/>
        <w:topLinePunct w:val="0"/>
        <w:bidi w:val="0"/>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pageBreakBefore w:val="0"/>
        <w:widowControl/>
        <w:wordWrap/>
        <w:topLinePunct w:val="0"/>
        <w:bidi w:val="0"/>
        <w:spacing w:line="0" w:lineRule="atLeast"/>
        <w:jc w:val="center"/>
        <w:rPr>
          <w:rFonts w:hint="eastAsia" w:ascii="黑体" w:hAnsi="黑体" w:eastAsia="黑体" w:cs="黑体"/>
          <w:b w:val="0"/>
          <w:bCs w:val="0"/>
          <w:sz w:val="32"/>
          <w:szCs w:val="32"/>
        </w:rPr>
      </w:pPr>
      <w:r>
        <w:rPr>
          <w:rFonts w:ascii="仿宋" w:hAnsi="仿宋" w:eastAsia="仿宋" w:cs="宋体"/>
          <w:b/>
          <w:bCs/>
          <w:sz w:val="28"/>
          <w:szCs w:val="28"/>
        </w:rPr>
        <w:br w:type="page"/>
      </w:r>
      <w:r>
        <w:rPr>
          <w:rFonts w:hint="eastAsia" w:ascii="黑体" w:hAnsi="黑体" w:eastAsia="黑体" w:cs="黑体"/>
          <w:b w:val="0"/>
          <w:bCs w:val="0"/>
          <w:sz w:val="32"/>
          <w:szCs w:val="32"/>
        </w:rPr>
        <w:t>评分标准</w:t>
      </w:r>
    </w:p>
    <w:p>
      <w:pPr>
        <w:pageBreakBefore w:val="0"/>
        <w:wordWrap/>
        <w:topLinePunct w:val="0"/>
        <w:bidi w:val="0"/>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590"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065"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b/>
                <w:color w:val="000000"/>
                <w:szCs w:val="21"/>
                <w:lang w:eastAsia="zh-CN"/>
              </w:rPr>
            </w:pPr>
            <w:r>
              <w:rPr>
                <w:rFonts w:hint="eastAsia" w:ascii="仿宋" w:hAnsi="仿宋" w:eastAsia="仿宋"/>
                <w:b/>
                <w:color w:val="000000"/>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仿宋_GB2312" w:hAnsi="宋体" w:eastAsia="仿宋_GB2312"/>
                <w:sz w:val="21"/>
                <w:szCs w:val="21"/>
              </w:rPr>
              <w:t>商务部分（30分）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供应商基本情况</w:t>
            </w:r>
            <w:r>
              <w:rPr>
                <w:rFonts w:hint="eastAsia" w:ascii="宋体" w:hAnsi="宋体" w:cs="宋体"/>
                <w:sz w:val="21"/>
                <w:szCs w:val="21"/>
              </w:rPr>
              <w:br w:type="textWrapping"/>
            </w:r>
            <w:r>
              <w:rPr>
                <w:rFonts w:hint="eastAsia" w:ascii="宋体" w:hAnsi="宋体" w:cs="宋体"/>
                <w:sz w:val="21"/>
                <w:szCs w:val="21"/>
              </w:rPr>
              <w:t>（5分）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熟悉</w:t>
            </w:r>
            <w:r>
              <w:rPr>
                <w:rFonts w:hint="eastAsia" w:ascii="宋体" w:hAnsi="宋体" w:cs="宋体"/>
                <w:sz w:val="21"/>
                <w:szCs w:val="21"/>
                <w:lang w:eastAsia="zh-CN"/>
              </w:rPr>
              <w:t>老年医学相关</w:t>
            </w:r>
            <w:r>
              <w:rPr>
                <w:rFonts w:hint="eastAsia" w:ascii="宋体" w:hAnsi="宋体" w:cs="宋体"/>
                <w:sz w:val="21"/>
                <w:szCs w:val="21"/>
              </w:rPr>
              <w:t>工作</w:t>
            </w:r>
            <w:r>
              <w:rPr>
                <w:rFonts w:hint="eastAsia" w:ascii="宋体" w:hAnsi="宋体" w:cs="宋体"/>
                <w:sz w:val="21"/>
                <w:szCs w:val="21"/>
                <w:lang w:eastAsia="zh-CN"/>
              </w:rPr>
              <w:t>，了解行业先进工作模式和理念</w:t>
            </w:r>
            <w:r>
              <w:rPr>
                <w:rFonts w:hint="eastAsia" w:ascii="宋体" w:hAnsi="宋体" w:cs="宋体"/>
                <w:sz w:val="21"/>
                <w:szCs w:val="21"/>
              </w:rPr>
              <w:t>。（横向比较，最优得5分、一般得3分、较差得0分）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供应商的管理经验</w:t>
            </w:r>
            <w:r>
              <w:rPr>
                <w:rFonts w:hint="eastAsia" w:ascii="宋体" w:hAnsi="宋体" w:cs="宋体"/>
                <w:sz w:val="21"/>
                <w:szCs w:val="21"/>
              </w:rPr>
              <w:br w:type="textWrapping"/>
            </w: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供应商近3年来（</w:t>
            </w:r>
            <w:r>
              <w:rPr>
                <w:rFonts w:hint="eastAsia" w:ascii="宋体" w:hAnsi="宋体" w:cs="宋体"/>
                <w:sz w:val="21"/>
                <w:szCs w:val="21"/>
                <w:lang w:val="en-US" w:eastAsia="zh-CN"/>
              </w:rPr>
              <w:t>2</w:t>
            </w:r>
            <w:r>
              <w:rPr>
                <w:rFonts w:hint="eastAsia" w:ascii="宋体" w:hAnsi="宋体" w:cs="宋体"/>
                <w:sz w:val="21"/>
                <w:szCs w:val="21"/>
              </w:rPr>
              <w:t>023年1月起至本采购活动遴选公告发布之日）从事</w:t>
            </w:r>
            <w:r>
              <w:rPr>
                <w:rFonts w:hint="eastAsia" w:ascii="宋体" w:hAnsi="宋体" w:cs="宋体"/>
                <w:sz w:val="21"/>
                <w:szCs w:val="21"/>
                <w:lang w:eastAsia="zh-CN"/>
              </w:rPr>
              <w:t>老年医学相关</w:t>
            </w:r>
            <w:r>
              <w:rPr>
                <w:rFonts w:hint="eastAsia" w:ascii="宋体" w:hAnsi="宋体" w:cs="宋体"/>
                <w:sz w:val="21"/>
                <w:szCs w:val="21"/>
              </w:rPr>
              <w:t>工作。每提供1份业绩得3分，最多15分（业绩需符合本次遴选项目内容）。</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vMerge w:val="restart"/>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项目人员配备</w:t>
            </w:r>
            <w:r>
              <w:rPr>
                <w:rFonts w:hint="eastAsia" w:ascii="宋体" w:hAnsi="宋体" w:cs="宋体"/>
                <w:sz w:val="21"/>
                <w:szCs w:val="21"/>
              </w:rPr>
              <w:br w:type="textWrapping"/>
            </w:r>
            <w:r>
              <w:rPr>
                <w:rFonts w:hint="eastAsia" w:ascii="宋体" w:hAnsi="宋体" w:cs="宋体"/>
                <w:sz w:val="21"/>
                <w:szCs w:val="21"/>
              </w:rPr>
              <w:t>（10分）</w:t>
            </w:r>
          </w:p>
        </w:tc>
        <w:tc>
          <w:tcPr>
            <w:tcW w:w="5065" w:type="dxa"/>
            <w:noWrap w:val="0"/>
            <w:vAlign w:val="center"/>
          </w:tcPr>
          <w:p>
            <w:pPr>
              <w:spacing w:line="300" w:lineRule="exact"/>
              <w:jc w:val="both"/>
              <w:rPr>
                <w:rFonts w:hint="eastAsia" w:ascii="仿宋" w:hAnsi="仿宋" w:eastAsia="仿宋" w:cs="仿宋_GB2312"/>
                <w:color w:val="000000"/>
                <w:kern w:val="0"/>
                <w:szCs w:val="21"/>
              </w:rPr>
            </w:pPr>
            <w:r>
              <w:rPr>
                <w:rFonts w:hint="eastAsia" w:ascii="宋体" w:hAnsi="宋体" w:cs="宋体"/>
                <w:sz w:val="21"/>
                <w:szCs w:val="21"/>
              </w:rPr>
              <w:t>拟投入本项目负责人应具有2年以上</w:t>
            </w:r>
            <w:r>
              <w:rPr>
                <w:rFonts w:hint="eastAsia" w:ascii="宋体" w:hAnsi="宋体" w:cs="宋体"/>
                <w:sz w:val="21"/>
                <w:szCs w:val="21"/>
                <w:lang w:eastAsia="zh-CN"/>
              </w:rPr>
              <w:t>老年医学工作</w:t>
            </w:r>
            <w:r>
              <w:rPr>
                <w:rFonts w:hint="eastAsia" w:ascii="宋体" w:hAnsi="宋体" w:cs="宋体"/>
                <w:sz w:val="21"/>
                <w:szCs w:val="21"/>
              </w:rPr>
              <w:t>经验（2分），符合要求得2分，不符合得0分；20</w:t>
            </w:r>
            <w:r>
              <w:rPr>
                <w:rFonts w:hint="eastAsia" w:ascii="宋体" w:hAnsi="宋体" w:cs="宋体"/>
                <w:sz w:val="21"/>
                <w:szCs w:val="21"/>
                <w:lang w:val="en-US" w:eastAsia="zh-CN"/>
              </w:rPr>
              <w:t>23</w:t>
            </w:r>
            <w:r>
              <w:rPr>
                <w:rFonts w:hint="eastAsia" w:ascii="宋体" w:hAnsi="宋体" w:cs="宋体"/>
                <w:sz w:val="21"/>
                <w:szCs w:val="21"/>
              </w:rPr>
              <w:t>-202</w:t>
            </w:r>
            <w:r>
              <w:rPr>
                <w:rFonts w:hint="eastAsia" w:ascii="宋体" w:hAnsi="宋体" w:cs="宋体"/>
                <w:sz w:val="21"/>
                <w:szCs w:val="21"/>
                <w:lang w:val="en-US" w:eastAsia="zh-CN"/>
              </w:rPr>
              <w:t>5</w:t>
            </w:r>
            <w:r>
              <w:rPr>
                <w:rFonts w:hint="eastAsia" w:ascii="宋体" w:hAnsi="宋体" w:cs="宋体"/>
                <w:sz w:val="21"/>
                <w:szCs w:val="21"/>
              </w:rPr>
              <w:t>年承担过</w:t>
            </w:r>
            <w:r>
              <w:rPr>
                <w:rFonts w:hint="eastAsia" w:ascii="宋体" w:hAnsi="宋体" w:cs="宋体"/>
                <w:sz w:val="21"/>
                <w:szCs w:val="21"/>
                <w:lang w:eastAsia="zh-CN"/>
              </w:rPr>
              <w:t>老年医学</w:t>
            </w:r>
            <w:r>
              <w:rPr>
                <w:rFonts w:hint="eastAsia" w:ascii="宋体" w:hAnsi="宋体" w:cs="宋体"/>
                <w:sz w:val="21"/>
                <w:szCs w:val="21"/>
              </w:rPr>
              <w:t>相关工作（2分）。</w:t>
            </w:r>
            <w:r>
              <w:rPr>
                <w:rFonts w:hint="eastAsia" w:ascii="宋体" w:hAnsi="宋体" w:cs="宋体"/>
                <w:sz w:val="21"/>
                <w:szCs w:val="21"/>
                <w:lang w:eastAsia="zh-CN"/>
              </w:rPr>
              <w:t>（</w:t>
            </w:r>
            <w:r>
              <w:rPr>
                <w:rFonts w:hint="eastAsia" w:ascii="宋体" w:hAnsi="宋体" w:cs="宋体"/>
                <w:sz w:val="21"/>
                <w:szCs w:val="21"/>
              </w:rPr>
              <w:t>需提供参与该项目的相关证明材料）,未承担过得0分。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kern w:val="0"/>
                <w:szCs w:val="21"/>
                <w:lang w:val="en-US" w:eastAsia="zh-CN"/>
              </w:rPr>
            </w:pPr>
            <w:r>
              <w:rPr>
                <w:rFonts w:hint="eastAsia" w:ascii="仿宋" w:hAnsi="仿宋" w:eastAsia="仿宋" w:cs="仿宋_GB2312"/>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宋体" w:hAnsi="宋体" w:cs="宋体"/>
                <w:sz w:val="21"/>
                <w:szCs w:val="21"/>
              </w:rPr>
            </w:pPr>
          </w:p>
        </w:tc>
        <w:tc>
          <w:tcPr>
            <w:tcW w:w="1590" w:type="dxa"/>
            <w:vMerge w:val="continue"/>
            <w:noWrap w:val="0"/>
            <w:vAlign w:val="center"/>
          </w:tcPr>
          <w:p>
            <w:pPr>
              <w:widowControl/>
              <w:spacing w:line="300" w:lineRule="exact"/>
              <w:jc w:val="center"/>
              <w:rPr>
                <w:rFonts w:hint="eastAsia" w:ascii="仿宋" w:hAnsi="仿宋" w:eastAsia="仿宋"/>
                <w:b/>
                <w:bCs/>
                <w:color w:val="000000"/>
                <w:szCs w:val="22"/>
              </w:rPr>
            </w:pPr>
          </w:p>
        </w:tc>
        <w:tc>
          <w:tcPr>
            <w:tcW w:w="5065" w:type="dxa"/>
            <w:noWrap w:val="0"/>
            <w:vAlign w:val="center"/>
          </w:tcPr>
          <w:p>
            <w:pPr>
              <w:spacing w:line="300" w:lineRule="exact"/>
              <w:jc w:val="both"/>
              <w:rPr>
                <w:rFonts w:hint="eastAsia" w:ascii="仿宋" w:hAnsi="仿宋" w:eastAsia="仿宋" w:cs="仿宋_GB2312"/>
                <w:color w:val="000000"/>
                <w:szCs w:val="21"/>
              </w:rPr>
            </w:pPr>
            <w:r>
              <w:rPr>
                <w:rFonts w:hint="eastAsia" w:ascii="宋体" w:hAnsi="宋体" w:cs="宋体"/>
                <w:sz w:val="21"/>
                <w:szCs w:val="21"/>
              </w:rPr>
              <w:t>拟投入本项目团队主要成员情况及参与过相关项目的资料，需提供人员名册，必须保证后续参与该项工作。（横向比较，最优得6分、较好得4分、一般得2分、较差得0分）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noWrap w:val="0"/>
            <w:vAlign w:val="center"/>
          </w:tcPr>
          <w:p>
            <w:pPr>
              <w:adjustRightInd/>
              <w:spacing w:line="0" w:lineRule="atLeast"/>
              <w:jc w:val="center"/>
              <w:textAlignment w:val="auto"/>
              <w:rPr>
                <w:rFonts w:hint="eastAsia" w:ascii="宋体" w:hAnsi="宋体" w:cs="宋体"/>
                <w:sz w:val="21"/>
                <w:szCs w:val="21"/>
              </w:rPr>
            </w:pPr>
            <w:r>
              <w:rPr>
                <w:rFonts w:hint="eastAsia" w:ascii="宋体" w:hAnsi="宋体" w:cs="宋体"/>
                <w:color w:val="000000"/>
                <w:sz w:val="21"/>
                <w:szCs w:val="21"/>
              </w:rPr>
              <w:t>技术部分（60分）</w:t>
            </w: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推进方案内容与工作方法（35分）</w:t>
            </w:r>
          </w:p>
        </w:tc>
        <w:tc>
          <w:tcPr>
            <w:tcW w:w="5065" w:type="dxa"/>
            <w:noWrap w:val="0"/>
            <w:vAlign w:val="center"/>
          </w:tcPr>
          <w:p>
            <w:pPr>
              <w:widowControl/>
              <w:spacing w:line="300" w:lineRule="exact"/>
              <w:jc w:val="both"/>
              <w:rPr>
                <w:rFonts w:hint="eastAsia" w:ascii="仿宋" w:hAnsi="仿宋" w:eastAsia="仿宋" w:cs="仿宋_GB2312"/>
                <w:color w:val="000000"/>
                <w:szCs w:val="21"/>
              </w:rPr>
            </w:pPr>
            <w:r>
              <w:rPr>
                <w:rFonts w:hint="eastAsia" w:ascii="宋体" w:hAnsi="宋体" w:cs="宋体"/>
                <w:sz w:val="21"/>
                <w:szCs w:val="21"/>
              </w:rPr>
              <w:t>项目推进的工作进度和工作流程编制思路清晰、目标明确、条理严谨，符合遴选工作任务要求，预期成果完备。优秀的，得35</w:t>
            </w:r>
            <w:r>
              <w:rPr>
                <w:rFonts w:hint="eastAsia" w:ascii="宋体" w:hAnsi="宋体" w:cs="宋体"/>
                <w:sz w:val="21"/>
                <w:szCs w:val="21"/>
                <w:lang w:val="en-US" w:eastAsia="zh-CN"/>
              </w:rPr>
              <w:t>-21</w:t>
            </w:r>
            <w:r>
              <w:rPr>
                <w:rFonts w:hint="eastAsia" w:ascii="宋体" w:hAnsi="宋体" w:cs="宋体"/>
                <w:sz w:val="21"/>
                <w:szCs w:val="21"/>
              </w:rPr>
              <w:t>分；良好的，得20</w:t>
            </w:r>
            <w:r>
              <w:rPr>
                <w:rFonts w:hint="eastAsia" w:ascii="宋体" w:hAnsi="宋体" w:cs="宋体"/>
                <w:sz w:val="21"/>
                <w:szCs w:val="21"/>
                <w:lang w:val="en-US" w:eastAsia="zh-CN"/>
              </w:rPr>
              <w:t>-11</w:t>
            </w:r>
            <w:r>
              <w:rPr>
                <w:rFonts w:hint="eastAsia" w:ascii="宋体" w:hAnsi="宋体" w:cs="宋体"/>
                <w:sz w:val="21"/>
                <w:szCs w:val="21"/>
              </w:rPr>
              <w:t>分；一般的，得10</w:t>
            </w:r>
            <w:r>
              <w:rPr>
                <w:rFonts w:hint="eastAsia" w:ascii="宋体" w:hAnsi="宋体" w:cs="宋体"/>
                <w:sz w:val="21"/>
                <w:szCs w:val="21"/>
                <w:lang w:val="en-US" w:eastAsia="zh-CN"/>
              </w:rPr>
              <w:t>-1</w:t>
            </w:r>
            <w:r>
              <w:rPr>
                <w:rFonts w:hint="eastAsia" w:ascii="宋体" w:hAnsi="宋体" w:cs="宋体"/>
                <w:sz w:val="21"/>
                <w:szCs w:val="21"/>
              </w:rPr>
              <w:t>分；较差的，得0分。</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质量保证措施</w:t>
            </w:r>
          </w:p>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（15分）</w:t>
            </w:r>
          </w:p>
        </w:tc>
        <w:tc>
          <w:tcPr>
            <w:tcW w:w="5065" w:type="dxa"/>
            <w:noWrap w:val="0"/>
            <w:vAlign w:val="center"/>
          </w:tcPr>
          <w:p>
            <w:pPr>
              <w:widowControl/>
              <w:spacing w:line="300" w:lineRule="exact"/>
              <w:jc w:val="both"/>
              <w:rPr>
                <w:rFonts w:hint="eastAsia" w:ascii="仿宋" w:hAnsi="仿宋" w:eastAsia="仿宋"/>
                <w:color w:val="000000"/>
                <w:szCs w:val="21"/>
              </w:rPr>
            </w:pPr>
            <w:r>
              <w:rPr>
                <w:rFonts w:hint="eastAsia" w:ascii="宋体" w:hAnsi="宋体" w:cs="宋体"/>
                <w:sz w:val="21"/>
                <w:szCs w:val="21"/>
              </w:rPr>
              <w:t>供应商质量管理体系健全，技术支持有保障，人员安排合理，能够在服务期内高质量完成合同要求。优秀的，得15</w:t>
            </w:r>
            <w:r>
              <w:rPr>
                <w:rFonts w:hint="eastAsia" w:ascii="宋体" w:hAnsi="宋体" w:cs="宋体"/>
                <w:sz w:val="21"/>
                <w:szCs w:val="21"/>
                <w:lang w:val="en-US" w:eastAsia="zh-CN"/>
              </w:rPr>
              <w:t>-11</w:t>
            </w:r>
            <w:r>
              <w:rPr>
                <w:rFonts w:hint="eastAsia" w:ascii="宋体" w:hAnsi="宋体" w:cs="宋体"/>
                <w:sz w:val="21"/>
                <w:szCs w:val="21"/>
              </w:rPr>
              <w:t>分；良好的，得10</w:t>
            </w:r>
            <w:r>
              <w:rPr>
                <w:rFonts w:hint="eastAsia" w:ascii="宋体" w:hAnsi="宋体" w:cs="宋体"/>
                <w:sz w:val="21"/>
                <w:szCs w:val="21"/>
                <w:lang w:val="en-US" w:eastAsia="zh-CN"/>
              </w:rPr>
              <w:t>-6</w:t>
            </w:r>
            <w:r>
              <w:rPr>
                <w:rFonts w:hint="eastAsia" w:ascii="宋体" w:hAnsi="宋体" w:cs="宋体"/>
                <w:sz w:val="21"/>
                <w:szCs w:val="21"/>
              </w:rPr>
              <w:t>分；一般的，得5</w:t>
            </w:r>
            <w:r>
              <w:rPr>
                <w:rFonts w:hint="eastAsia" w:ascii="宋体" w:hAnsi="宋体" w:cs="宋体"/>
                <w:sz w:val="21"/>
                <w:szCs w:val="21"/>
                <w:lang w:val="en-US" w:eastAsia="zh-CN"/>
              </w:rPr>
              <w:t>-1</w:t>
            </w:r>
            <w:r>
              <w:rPr>
                <w:rFonts w:hint="eastAsia" w:ascii="宋体" w:hAnsi="宋体" w:cs="宋体"/>
                <w:sz w:val="21"/>
                <w:szCs w:val="21"/>
              </w:rPr>
              <w:t>分；较差的，得0分（需提供202</w:t>
            </w:r>
            <w:r>
              <w:rPr>
                <w:rFonts w:hint="eastAsia" w:ascii="宋体" w:hAnsi="宋体" w:cs="宋体"/>
                <w:sz w:val="21"/>
                <w:szCs w:val="21"/>
                <w:lang w:val="en-US" w:eastAsia="zh-CN"/>
              </w:rPr>
              <w:t>3</w:t>
            </w:r>
            <w:r>
              <w:rPr>
                <w:rFonts w:hint="eastAsia" w:ascii="宋体" w:hAnsi="宋体" w:cs="宋体"/>
                <w:sz w:val="21"/>
                <w:szCs w:val="21"/>
              </w:rPr>
              <w:t>年内的相关项目的合同或批准文件）。</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noWrap w:val="0"/>
            <w:vAlign w:val="top"/>
          </w:tcPr>
          <w:p>
            <w:pPr>
              <w:adjustRightInd/>
              <w:spacing w:line="0" w:lineRule="atLeast"/>
              <w:jc w:val="both"/>
              <w:textAlignment w:val="auto"/>
              <w:rPr>
                <w:rFonts w:hint="eastAsia" w:ascii="仿宋" w:hAnsi="仿宋" w:eastAsia="仿宋"/>
                <w:b/>
                <w:bCs/>
                <w:color w:val="000000"/>
                <w:szCs w:val="22"/>
              </w:rPr>
            </w:pPr>
          </w:p>
        </w:tc>
        <w:tc>
          <w:tcPr>
            <w:tcW w:w="159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 w:val="21"/>
                <w:szCs w:val="21"/>
              </w:rPr>
              <w:t>服务承诺（10分）</w:t>
            </w:r>
          </w:p>
        </w:tc>
        <w:tc>
          <w:tcPr>
            <w:tcW w:w="5065" w:type="dxa"/>
            <w:noWrap w:val="0"/>
            <w:vAlign w:val="center"/>
          </w:tcPr>
          <w:p>
            <w:pPr>
              <w:widowControl/>
              <w:spacing w:line="300" w:lineRule="exact"/>
              <w:jc w:val="both"/>
              <w:rPr>
                <w:rFonts w:hint="eastAsia" w:ascii="仿宋" w:hAnsi="仿宋" w:eastAsia="仿宋"/>
                <w:color w:val="000000"/>
                <w:sz w:val="24"/>
                <w:szCs w:val="20"/>
              </w:rPr>
            </w:pPr>
            <w:r>
              <w:rPr>
                <w:rFonts w:hint="eastAsia" w:ascii="宋体" w:hAnsi="宋体" w:cs="宋体"/>
                <w:sz w:val="21"/>
                <w:szCs w:val="21"/>
              </w:rPr>
              <w:t>供应商须提供沟通机制，内容包括①服务人员安排②沟通方案，要求有专人定期沟通，配合。优秀的，得10</w:t>
            </w:r>
            <w:r>
              <w:rPr>
                <w:rFonts w:hint="eastAsia" w:ascii="宋体" w:hAnsi="宋体" w:cs="宋体"/>
                <w:sz w:val="21"/>
                <w:szCs w:val="21"/>
                <w:lang w:val="en-US" w:eastAsia="zh-CN"/>
              </w:rPr>
              <w:t>-8</w:t>
            </w:r>
            <w:r>
              <w:rPr>
                <w:rFonts w:hint="eastAsia" w:ascii="宋体" w:hAnsi="宋体" w:cs="宋体"/>
                <w:sz w:val="21"/>
                <w:szCs w:val="21"/>
              </w:rPr>
              <w:t>分；良好的，得7</w:t>
            </w:r>
            <w:r>
              <w:rPr>
                <w:rFonts w:hint="eastAsia" w:ascii="宋体" w:hAnsi="宋体" w:cs="宋体"/>
                <w:sz w:val="21"/>
                <w:szCs w:val="21"/>
                <w:lang w:val="en-US" w:eastAsia="zh-CN"/>
              </w:rPr>
              <w:t>-5</w:t>
            </w:r>
            <w:r>
              <w:rPr>
                <w:rFonts w:hint="eastAsia" w:ascii="宋体" w:hAnsi="宋体" w:cs="宋体"/>
                <w:sz w:val="21"/>
                <w:szCs w:val="21"/>
              </w:rPr>
              <w:t>分；一般的，得4</w:t>
            </w:r>
            <w:r>
              <w:rPr>
                <w:rFonts w:hint="eastAsia" w:ascii="宋体" w:hAnsi="宋体" w:cs="宋体"/>
                <w:sz w:val="21"/>
                <w:szCs w:val="21"/>
                <w:lang w:val="en-US" w:eastAsia="zh-CN"/>
              </w:rPr>
              <w:t>-1</w:t>
            </w:r>
            <w:r>
              <w:rPr>
                <w:rFonts w:hint="eastAsia" w:ascii="宋体" w:hAnsi="宋体" w:cs="宋体"/>
                <w:sz w:val="21"/>
                <w:szCs w:val="21"/>
              </w:rPr>
              <w:t>分；较差的，得0分。</w:t>
            </w:r>
          </w:p>
        </w:tc>
        <w:tc>
          <w:tcPr>
            <w:tcW w:w="709" w:type="dxa"/>
            <w:noWrap w:val="0"/>
            <w:vAlign w:val="center"/>
          </w:tcPr>
          <w:p>
            <w:pPr>
              <w:pStyle w:val="20"/>
              <w:pageBreakBefore w:val="0"/>
              <w:wordWrap/>
              <w:topLinePunct w:val="0"/>
              <w:bidi w:val="0"/>
              <w:spacing w:after="0" w:line="0" w:lineRule="atLeast"/>
              <w:ind w:left="0" w:leftChars="0" w:firstLine="0" w:firstLineChars="0"/>
              <w:jc w:val="center"/>
              <w:rPr>
                <w:rFonts w:hint="eastAsia" w:ascii="仿宋" w:hAnsi="仿宋" w:eastAsia="仿宋" w:cs="仿宋_GB2312"/>
                <w:color w:val="000000"/>
                <w:szCs w:val="21"/>
                <w:lang w:val="en-US" w:eastAsia="zh-CN"/>
              </w:rPr>
            </w:pPr>
            <w:r>
              <w:rPr>
                <w:rFonts w:hint="eastAsia" w:ascii="仿宋" w:hAnsi="仿宋" w:eastAsia="仿宋" w:cs="Times New Roman"/>
                <w:color w:val="000000"/>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rPr>
              <w:t>投标报价（</w:t>
            </w:r>
            <w:r>
              <w:rPr>
                <w:rFonts w:ascii="宋体" w:hAnsi="宋体" w:cs="Arial"/>
                <w:sz w:val="21"/>
                <w:szCs w:val="21"/>
              </w:rPr>
              <w:t>10</w:t>
            </w:r>
            <w:r>
              <w:rPr>
                <w:rFonts w:hint="eastAsia" w:ascii="宋体" w:hAnsi="宋体" w:cs="宋体"/>
                <w:sz w:val="21"/>
                <w:szCs w:val="21"/>
              </w:rPr>
              <w:t>分）</w:t>
            </w:r>
          </w:p>
        </w:tc>
        <w:tc>
          <w:tcPr>
            <w:tcW w:w="6655" w:type="dxa"/>
            <w:gridSpan w:val="2"/>
            <w:noWrap w:val="0"/>
            <w:vAlign w:val="center"/>
          </w:tcPr>
          <w:p>
            <w:pPr>
              <w:adjustRightInd/>
              <w:spacing w:line="0" w:lineRule="atLeast"/>
              <w:jc w:val="both"/>
              <w:textAlignment w:val="auto"/>
              <w:rPr>
                <w:rFonts w:hint="eastAsia" w:ascii="仿宋" w:hAnsi="仿宋" w:eastAsia="仿宋" w:cs="仿宋_GB2312"/>
                <w:color w:val="000000"/>
                <w:szCs w:val="21"/>
              </w:rPr>
            </w:pPr>
            <w:r>
              <w:rPr>
                <w:rFonts w:hint="eastAsia" w:ascii="宋体" w:hAnsi="宋体"/>
                <w:sz w:val="21"/>
                <w:szCs w:val="21"/>
              </w:rPr>
              <w:t>报价得分=（评标基准价/报价）×价格权值×100</w:t>
            </w:r>
          </w:p>
        </w:tc>
        <w:tc>
          <w:tcPr>
            <w:tcW w:w="709" w:type="dxa"/>
            <w:noWrap w:val="0"/>
            <w:vAlign w:val="center"/>
          </w:tcPr>
          <w:p>
            <w:pPr>
              <w:pageBreakBefore w:val="0"/>
              <w:wordWrap/>
              <w:topLinePunct w:val="0"/>
              <w:bidi w:val="0"/>
              <w:spacing w:line="0" w:lineRule="atLeast"/>
              <w:jc w:val="center"/>
              <w:rPr>
                <w:rFonts w:hint="eastAsia" w:ascii="仿宋" w:hAnsi="仿宋" w:eastAsia="仿宋"/>
                <w:color w:val="000000"/>
                <w:lang w:val="en-US" w:eastAsia="zh-CN"/>
              </w:rPr>
            </w:pPr>
            <w:r>
              <w:rPr>
                <w:rFonts w:hint="eastAsia" w:ascii="仿宋" w:hAnsi="仿宋" w:eastAsia="仿宋"/>
                <w:color w:val="000000"/>
                <w:lang w:val="en-US" w:eastAsia="zh-CN"/>
              </w:rPr>
              <w:t>10</w:t>
            </w:r>
          </w:p>
        </w:tc>
      </w:tr>
    </w:tbl>
    <w:p>
      <w:pPr>
        <w:pageBreakBefore w:val="0"/>
        <w:wordWrap/>
        <w:topLinePunct w:val="0"/>
        <w:bidi w:val="0"/>
        <w:spacing w:line="0" w:lineRule="atLeast"/>
        <w:rPr>
          <w:rFonts w:hint="eastAsia" w:ascii="仿宋" w:hAnsi="仿宋" w:eastAsia="仿宋" w:cs="宋体"/>
          <w:szCs w:val="21"/>
        </w:rPr>
      </w:pPr>
    </w:p>
    <w:p>
      <w:pPr>
        <w:pageBreakBefore w:val="0"/>
        <w:wordWrap/>
        <w:topLinePunct w:val="0"/>
        <w:bidi w:val="0"/>
        <w:spacing w:line="0" w:lineRule="atLeast"/>
      </w:pPr>
    </w:p>
    <w:p>
      <w:pPr>
        <w:pageBreakBefore w:val="0"/>
        <w:wordWrap/>
        <w:topLinePunct w:val="0"/>
        <w:bidi w:val="0"/>
        <w:spacing w:line="0" w:lineRule="atLeast"/>
      </w:pPr>
    </w:p>
    <w:p>
      <w:pPr>
        <w:pageBreakBefore w:val="0"/>
        <w:wordWrap/>
        <w:topLinePunct w:val="0"/>
        <w:bidi w:val="0"/>
        <w:spacing w:line="0" w:lineRule="atLeast"/>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bCs/>
          <w:i w:val="0"/>
          <w:iCs w:val="0"/>
          <w:caps w:val="0"/>
          <w:color w:val="555555"/>
          <w:spacing w:val="0"/>
          <w:sz w:val="24"/>
          <w:szCs w:val="24"/>
          <w:lang w:val="en-US" w:eastAsia="zh-CN"/>
        </w:rPr>
      </w:pPr>
    </w:p>
    <w:sectPr>
      <w:headerReference r:id="rId5" w:type="default"/>
      <w:footerReference r:id="rId6" w:type="default"/>
      <w:footerReference r:id="rId7" w:type="even"/>
      <w:pgSz w:w="11906" w:h="16838"/>
      <w:pgMar w:top="2098" w:right="1474" w:bottom="1985" w:left="1588"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M1YmI2ZTIzOTQxMzAzMGFmMzkwZjc0YWUwYTcifQ=="/>
  </w:docVars>
  <w:rsids>
    <w:rsidRoot w:val="00172A27"/>
    <w:rsid w:val="00186F9A"/>
    <w:rsid w:val="0075395C"/>
    <w:rsid w:val="007C2754"/>
    <w:rsid w:val="00925532"/>
    <w:rsid w:val="00932221"/>
    <w:rsid w:val="00BE39DE"/>
    <w:rsid w:val="00C63320"/>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CF2E54"/>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7FEBEA88"/>
    <w:rsid w:val="AEF757F6"/>
    <w:rsid w:val="FAFF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pPr>
      <w:jc w:val="left"/>
    </w:pPr>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spacing w:line="360" w:lineRule="auto"/>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jc w:val="center"/>
    </w:pPr>
    <w:rPr>
      <w:rFonts w:ascii="Times New Roman" w:hAnsi="Times New Roman" w:eastAsia="宋体" w:cs="Times New Roman"/>
      <w:kern w:val="2"/>
      <w:sz w:val="32"/>
      <w:lang w:val="en-US" w:eastAsia="zh-CN" w:bidi="ar-SA"/>
    </w:rPr>
  </w:style>
  <w:style w:type="paragraph" w:styleId="20">
    <w:name w:val="Body Text First Indent 2"/>
    <w:basedOn w:val="8"/>
    <w:qFormat/>
    <w:uiPriority w:val="0"/>
    <w:pPr>
      <w:ind w:firstLine="420" w:firstLineChars="200"/>
    </w:pPr>
    <w:rPr>
      <w:rFonts w:ascii="Calibri" w:hAnsi="Calibri"/>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rPr>
      <w:rFonts w:ascii="Calibri" w:hAnsi="Calibri"/>
    </w:rPr>
  </w:style>
  <w:style w:type="paragraph" w:customStyle="1" w:styleId="28">
    <w:name w:val="BodyTextIndent"/>
    <w:basedOn w:val="1"/>
    <w:qFormat/>
    <w:uiPriority w:val="0"/>
    <w:pPr>
      <w:spacing w:after="120"/>
      <w:ind w:left="420" w:leftChars="200"/>
      <w:textAlignment w:val="baseline"/>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 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2521</Words>
  <Characters>2739</Characters>
  <Lines>0</Lines>
  <Paragraphs>0</Paragraphs>
  <TotalTime>2</TotalTime>
  <ScaleCrop>false</ScaleCrop>
  <LinksUpToDate>false</LinksUpToDate>
  <CharactersWithSpaces>2922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2022-01-12T15:51:00Z</dcterms:created>
  <dc:creator>hp</dc:creator>
  <cp:lastModifiedBy>admin</cp:lastModifiedBy>
  <dcterms:modified xsi:type="dcterms:W3CDTF">2026-03-24T10:23:40Z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ies>
</file>