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tbl>
      <w:tblPr>
        <w:tblStyle w:val="10"/>
        <w:tblW w:w="81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110"/>
        <w:gridCol w:w="53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after="120" w:line="360" w:lineRule="auto"/>
              <w:jc w:val="center"/>
              <w:rPr>
                <w:rFonts w:hint="eastAsia" w:ascii="仿宋" w:hAnsi="仿宋" w:eastAsia="仿宋"/>
                <w:b/>
                <w:szCs w:val="21"/>
              </w:rPr>
            </w:pPr>
            <w:r>
              <w:rPr>
                <w:rFonts w:hint="eastAsia" w:ascii="仿宋" w:hAnsi="仿宋" w:eastAsia="仿宋"/>
                <w:b/>
                <w:color w:val="000000"/>
                <w:kern w:val="0"/>
                <w:szCs w:val="21"/>
              </w:rPr>
              <w:t>内容</w:t>
            </w:r>
          </w:p>
        </w:tc>
        <w:tc>
          <w:tcPr>
            <w:tcW w:w="1110" w:type="dxa"/>
            <w:noWrap w:val="0"/>
            <w:vAlign w:val="center"/>
          </w:tcPr>
          <w:p>
            <w:pPr>
              <w:suppressAutoHyphens w:val="0"/>
              <w:spacing w:after="120" w:line="360" w:lineRule="auto"/>
              <w:jc w:val="center"/>
              <w:rPr>
                <w:rFonts w:hint="eastAsia" w:ascii="仿宋" w:hAnsi="仿宋" w:eastAsia="仿宋" w:cs="Times New Roman"/>
                <w:b/>
                <w:kern w:val="2"/>
                <w:sz w:val="21"/>
                <w:szCs w:val="21"/>
                <w:lang w:val="en-US" w:eastAsia="zh-CN" w:bidi="ar-SA"/>
              </w:rPr>
            </w:pPr>
            <w:r>
              <w:rPr>
                <w:rFonts w:hint="eastAsia" w:ascii="仿宋" w:hAnsi="仿宋" w:eastAsia="仿宋"/>
                <w:b/>
                <w:color w:val="000000"/>
                <w:kern w:val="0"/>
                <w:szCs w:val="21"/>
              </w:rPr>
              <w:t>评分内容</w:t>
            </w:r>
          </w:p>
        </w:tc>
        <w:tc>
          <w:tcPr>
            <w:tcW w:w="5355" w:type="dxa"/>
            <w:noWrap w:val="0"/>
            <w:vAlign w:val="center"/>
          </w:tcPr>
          <w:p>
            <w:pPr>
              <w:suppressAutoHyphens w:val="0"/>
              <w:spacing w:after="120" w:line="360" w:lineRule="auto"/>
              <w:jc w:val="center"/>
              <w:rPr>
                <w:rFonts w:hint="eastAsia" w:ascii="仿宋" w:hAnsi="仿宋" w:eastAsia="仿宋" w:cs="Times New Roman"/>
                <w:kern w:val="2"/>
                <w:sz w:val="21"/>
                <w:szCs w:val="21"/>
                <w:lang w:val="en-US" w:eastAsia="zh-CN" w:bidi="ar-SA"/>
              </w:rPr>
            </w:pPr>
            <w:r>
              <w:rPr>
                <w:rFonts w:hint="eastAsia" w:ascii="仿宋" w:hAnsi="仿宋" w:eastAsia="仿宋"/>
                <w:b/>
                <w:color w:val="000000"/>
                <w:kern w:val="0"/>
                <w:szCs w:val="21"/>
              </w:rPr>
              <w:t>评标标准</w:t>
            </w:r>
          </w:p>
        </w:tc>
        <w:tc>
          <w:tcPr>
            <w:tcW w:w="735" w:type="dxa"/>
            <w:noWrap w:val="0"/>
            <w:vAlign w:val="center"/>
          </w:tcPr>
          <w:p>
            <w:pPr>
              <w:suppressAutoHyphens w:val="0"/>
              <w:spacing w:after="120" w:line="360" w:lineRule="auto"/>
              <w:jc w:val="center"/>
              <w:rPr>
                <w:rFonts w:hint="eastAsia" w:ascii="仿宋" w:hAnsi="仿宋" w:eastAsia="仿宋"/>
                <w:b/>
                <w:color w:val="000000"/>
                <w:kern w:val="0"/>
                <w:szCs w:val="21"/>
              </w:rPr>
            </w:pPr>
            <w:r>
              <w:rPr>
                <w:rFonts w:hint="eastAsia" w:ascii="仿宋" w:hAnsi="仿宋" w:eastAsia="仿宋"/>
                <w:b/>
                <w:color w:val="000000"/>
                <w:kern w:val="0"/>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价格</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（10分）</w:t>
            </w:r>
          </w:p>
        </w:tc>
        <w:tc>
          <w:tcPr>
            <w:tcW w:w="1110"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遴选报价</w:t>
            </w:r>
          </w:p>
          <w:p>
            <w:pPr>
              <w:suppressAutoHyphens w:val="0"/>
              <w:spacing w:line="276" w:lineRule="auto"/>
              <w:jc w:val="center"/>
              <w:rPr>
                <w:rFonts w:hint="default"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（10分）</w:t>
            </w:r>
          </w:p>
        </w:tc>
        <w:tc>
          <w:tcPr>
            <w:tcW w:w="5355" w:type="dxa"/>
            <w:noWrap w:val="0"/>
            <w:vAlign w:val="center"/>
          </w:tcPr>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综合评分法中的价格分统一采用低价优先法计算，即满足遴选文件要求且价格最低的评审价为评标基准价，其价格分为满分。</w:t>
            </w:r>
          </w:p>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其他供应商的价格分统一按照下列公式计算：价格分数=（基准价/遴选报价）×价格权值（1/10）×100</w:t>
            </w:r>
          </w:p>
          <w:p>
            <w:pPr>
              <w:suppressAutoHyphens w:val="0"/>
              <w:spacing w:line="276" w:lineRule="auto"/>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hint="eastAsia" w:ascii="仿宋" w:hAnsi="仿宋" w:eastAsia="仿宋" w:cs="宋体"/>
                <w:b/>
                <w:color w:val="000000"/>
                <w:kern w:val="0"/>
                <w:szCs w:val="21"/>
                <w:lang w:eastAsia="zh-CN"/>
              </w:rPr>
            </w:pPr>
            <w:r>
              <w:rPr>
                <w:rFonts w:hint="eastAsia" w:ascii="仿宋" w:hAnsi="仿宋" w:eastAsia="仿宋" w:cs="宋体"/>
                <w:b/>
                <w:color w:val="000000"/>
                <w:kern w:val="0"/>
                <w:szCs w:val="21"/>
                <w:lang w:eastAsia="zh-CN"/>
              </w:rPr>
              <w:t>商务</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25</w:t>
            </w:r>
            <w:r>
              <w:rPr>
                <w:rFonts w:hint="eastAsia" w:ascii="仿宋" w:hAnsi="仿宋" w:eastAsia="仿宋" w:cs="宋体"/>
                <w:b/>
                <w:color w:val="000000"/>
                <w:kern w:val="0"/>
                <w:szCs w:val="21"/>
              </w:rPr>
              <w:t>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供应商基本情况</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5分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供应商的业绩</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20分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highlight w:val="yellow"/>
                <w:lang w:val="en-US" w:eastAsia="zh-CN" w:bidi="ar-SA"/>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bookmarkStart w:id="0" w:name="_GoBack"/>
            <w:bookmarkEnd w:id="0"/>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业务部分</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6</w:t>
            </w:r>
            <w:r>
              <w:rPr>
                <w:rFonts w:hint="eastAsia" w:ascii="仿宋" w:hAnsi="仿宋" w:eastAsia="仿宋" w:cs="宋体"/>
                <w:b/>
                <w:color w:val="000000"/>
                <w:kern w:val="0"/>
                <w:szCs w:val="21"/>
              </w:rPr>
              <w:t>5分）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项目方案</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30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项目方案科学合理性强、内容详细全面，可行性强,得20-30分；项目方案科学合理性较强、内容较为详细全面，可行性较好,得9-19分；项目方案科学合理、内容一般，有可行性,得1-8分；项目方案科学合理较差、内容不充实，可行性差,得0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项目成员配备（</w:t>
            </w:r>
            <w:r>
              <w:rPr>
                <w:rFonts w:hint="eastAsia" w:ascii="仿宋" w:hAnsi="仿宋" w:eastAsia="仿宋" w:cs="宋体"/>
                <w:b/>
                <w:color w:val="000000"/>
                <w:kern w:val="0"/>
                <w:szCs w:val="21"/>
                <w:lang w:val="en-US" w:eastAsia="zh-CN"/>
              </w:rPr>
              <w:t>20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（1）类似工作经验丰富，学历（专业）优于/符合要求，分工明确，与项目实际契合度高，得17-20分；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（2）类似工作经验较丰富，学历（专业）符合要求，分工较明确，与项目实际契合度较高，得10-16分；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（3）类似工作经验一般，学历（专业）基本满足要求，分工一般，与项目实际契合度一般，得5-9分；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经费管理</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（5分）</w:t>
            </w:r>
          </w:p>
        </w:tc>
        <w:tc>
          <w:tcPr>
            <w:tcW w:w="5355" w:type="dxa"/>
            <w:noWrap w:val="0"/>
            <w:vAlign w:val="center"/>
          </w:tcPr>
          <w:p>
            <w:pPr>
              <w:suppressAutoHyphens w:val="0"/>
              <w:spacing w:line="276" w:lineRule="auto"/>
              <w:rPr>
                <w:rFonts w:ascii="仿宋" w:hAnsi="仿宋" w:eastAsia="仿宋" w:cs="宋体"/>
                <w:color w:val="000000"/>
                <w:kern w:val="0"/>
                <w:szCs w:val="21"/>
              </w:rPr>
            </w:pPr>
            <w:r>
              <w:rPr>
                <w:rFonts w:hint="eastAsia" w:ascii="仿宋" w:hAnsi="仿宋" w:eastAsia="仿宋" w:cs="宋体"/>
                <w:color w:val="000000"/>
                <w:kern w:val="0"/>
                <w:szCs w:val="21"/>
              </w:rPr>
              <w:t>（1）提供资金使用安全性的说明文件，且安排财务部门专人负责本项目经费的管理得5分。</w:t>
            </w:r>
          </w:p>
          <w:p>
            <w:pPr>
              <w:suppressAutoHyphens w:val="0"/>
              <w:spacing w:line="276" w:lineRule="auto"/>
              <w:rPr>
                <w:rFonts w:hint="eastAsia" w:ascii="仿宋" w:hAnsi="仿宋" w:eastAsia="仿宋" w:cs="宋体"/>
                <w:color w:val="000000"/>
                <w:kern w:val="0"/>
                <w:sz w:val="21"/>
                <w:szCs w:val="21"/>
                <w:lang w:val="en-US" w:eastAsia="zh-CN" w:bidi="ar-SA"/>
              </w:rPr>
            </w:pPr>
            <w:r>
              <w:rPr>
                <w:rFonts w:ascii="仿宋" w:hAnsi="仿宋" w:eastAsia="仿宋" w:cs="宋体"/>
                <w:color w:val="000000"/>
                <w:kern w:val="0"/>
                <w:szCs w:val="21"/>
              </w:rPr>
              <w:t>（</w:t>
            </w:r>
            <w:r>
              <w:rPr>
                <w:rFonts w:hint="eastAsia" w:ascii="仿宋" w:hAnsi="仿宋" w:eastAsia="仿宋" w:cs="宋体"/>
                <w:color w:val="000000"/>
                <w:kern w:val="0"/>
                <w:szCs w:val="21"/>
              </w:rPr>
              <w:t>2</w:t>
            </w:r>
            <w:r>
              <w:rPr>
                <w:rFonts w:ascii="仿宋" w:hAnsi="仿宋" w:eastAsia="仿宋" w:cs="宋体"/>
                <w:color w:val="000000"/>
                <w:kern w:val="0"/>
                <w:szCs w:val="21"/>
              </w:rPr>
              <w:t>）未</w:t>
            </w:r>
            <w:r>
              <w:rPr>
                <w:rFonts w:hint="eastAsia" w:ascii="仿宋" w:hAnsi="仿宋" w:eastAsia="仿宋" w:cs="宋体"/>
                <w:color w:val="000000"/>
                <w:kern w:val="0"/>
                <w:szCs w:val="21"/>
              </w:rPr>
              <w:t>提供资金使用安全性的说明文件，或</w:t>
            </w:r>
            <w:r>
              <w:rPr>
                <w:rFonts w:hint="eastAsia" w:ascii="仿宋" w:hAnsi="仿宋" w:eastAsia="仿宋" w:cs="宋体"/>
                <w:color w:val="000000"/>
                <w:kern w:val="0"/>
                <w:szCs w:val="21"/>
                <w:lang w:eastAsia="zh-CN"/>
              </w:rPr>
              <w:t>未</w:t>
            </w:r>
            <w:r>
              <w:rPr>
                <w:rFonts w:hint="eastAsia" w:ascii="仿宋" w:hAnsi="仿宋" w:eastAsia="仿宋" w:cs="宋体"/>
                <w:color w:val="000000"/>
                <w:kern w:val="0"/>
                <w:szCs w:val="21"/>
              </w:rPr>
              <w:t>安排财务部门专人负责项目经费管理得0分。</w:t>
            </w:r>
          </w:p>
        </w:tc>
        <w:tc>
          <w:tcPr>
            <w:tcW w:w="735" w:type="dxa"/>
            <w:noWrap w:val="0"/>
            <w:vAlign w:val="center"/>
          </w:tcPr>
          <w:p>
            <w:pPr>
              <w:suppressAutoHyphens w:val="0"/>
              <w:spacing w:line="276" w:lineRule="auto"/>
              <w:jc w:val="center"/>
              <w:rPr>
                <w:rFonts w:hint="eastAsia"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服务承诺</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10分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p>
        </w:tc>
      </w:tr>
    </w:tbl>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4BEF5F9E"/>
    <w:rsid w:val="534A4F32"/>
    <w:rsid w:val="ADBB19D4"/>
    <w:rsid w:val="D7FFFEB3"/>
    <w:rsid w:val="EFEEB3D5"/>
    <w:rsid w:val="FF6AA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admin</cp:lastModifiedBy>
  <dcterms:modified xsi:type="dcterms:W3CDTF">2025-12-23T15:31:25Z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