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bookmarkStart w:id="0" w:name="_GoBack"/>
      <w:bookmarkEnd w:id="0"/>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2"/>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9"/>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内容</w:t>
            </w:r>
          </w:p>
        </w:tc>
        <w:tc>
          <w:tcPr>
            <w:tcW w:w="1191" w:type="dxa"/>
            <w:vAlign w:val="center"/>
          </w:tcPr>
          <w:p>
            <w:pPr>
              <w:pStyle w:val="9"/>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评分内容</w:t>
            </w:r>
          </w:p>
        </w:tc>
        <w:tc>
          <w:tcPr>
            <w:tcW w:w="5106" w:type="dxa"/>
            <w:vAlign w:val="center"/>
          </w:tcPr>
          <w:p>
            <w:pPr>
              <w:pStyle w:val="9"/>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评标标准</w:t>
            </w:r>
          </w:p>
        </w:tc>
        <w:tc>
          <w:tcPr>
            <w:tcW w:w="851" w:type="dxa"/>
            <w:vAlign w:val="center"/>
          </w:tcPr>
          <w:p>
            <w:pPr>
              <w:pStyle w:val="9"/>
              <w:ind w:firstLine="0" w:firstLineChars="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9"/>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价格部分（10分）</w:t>
            </w:r>
          </w:p>
        </w:tc>
        <w:tc>
          <w:tcPr>
            <w:tcW w:w="1191" w:type="dxa"/>
            <w:vAlign w:val="center"/>
          </w:tcPr>
          <w:p>
            <w:pPr>
              <w:pStyle w:val="9"/>
              <w:ind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遴选报价</w:t>
            </w:r>
          </w:p>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（10分）</w:t>
            </w:r>
          </w:p>
        </w:tc>
        <w:tc>
          <w:tcPr>
            <w:tcW w:w="5106" w:type="dxa"/>
            <w:vAlign w:val="center"/>
          </w:tcPr>
          <w:p>
            <w:pPr>
              <w:rPr>
                <w:rFonts w:ascii="仿宋" w:hAnsi="仿宋" w:eastAsia="仿宋"/>
                <w:b/>
                <w:color w:val="auto"/>
                <w:szCs w:val="21"/>
                <w:highlight w:val="none"/>
              </w:rPr>
            </w:pPr>
            <w:r>
              <w:rPr>
                <w:rFonts w:hint="eastAsia" w:ascii="仿宋" w:hAnsi="仿宋" w:eastAsia="仿宋" w:cs="仿宋_GB2312"/>
                <w:color w:val="auto"/>
                <w:szCs w:val="21"/>
                <w:highlight w:val="none"/>
              </w:rPr>
              <w:t>综合评分法中的价格分统一采用低价优先法计算，即满足遴选文件要求且价格最低的评审价为评标基准价，其价格分为满分。</w:t>
            </w:r>
          </w:p>
          <w:p>
            <w:pPr>
              <w:pStyle w:val="9"/>
              <w:rPr>
                <w:rFonts w:ascii="Tahoma" w:hAnsi="Tahoma"/>
                <w:color w:val="auto"/>
                <w:sz w:val="21"/>
                <w:szCs w:val="21"/>
                <w:highlight w:val="none"/>
              </w:rPr>
            </w:pPr>
            <w:r>
              <w:rPr>
                <w:rFonts w:hint="eastAsia" w:ascii="仿宋" w:hAnsi="仿宋" w:eastAsia="仿宋" w:cs="仿宋_GB2312"/>
                <w:color w:val="auto"/>
                <w:sz w:val="21"/>
                <w:szCs w:val="21"/>
                <w:highlight w:val="none"/>
              </w:rPr>
              <w:t>其他供应商的价格分统一按照下列公式计算：价格分数=（基准价/遴选报价）×价格权值1</w:t>
            </w:r>
            <w:r>
              <w:rPr>
                <w:rFonts w:ascii="仿宋" w:hAnsi="仿宋" w:eastAsia="仿宋" w:cs="仿宋_GB2312"/>
                <w:color w:val="auto"/>
                <w:sz w:val="21"/>
                <w:szCs w:val="21"/>
                <w:highlight w:val="none"/>
              </w:rPr>
              <w:t>0%</w:t>
            </w:r>
            <w:r>
              <w:rPr>
                <w:rFonts w:hint="eastAsia" w:ascii="仿宋" w:hAnsi="仿宋" w:eastAsia="仿宋" w:cs="仿宋_GB2312"/>
                <w:color w:val="auto"/>
                <w:sz w:val="21"/>
                <w:szCs w:val="21"/>
                <w:highlight w:val="none"/>
              </w:rPr>
              <w:t>×10</w:t>
            </w:r>
            <w:r>
              <w:rPr>
                <w:rFonts w:ascii="仿宋" w:hAnsi="仿宋" w:eastAsia="仿宋" w:cs="仿宋_GB2312"/>
                <w:color w:val="auto"/>
                <w:sz w:val="21"/>
                <w:szCs w:val="21"/>
                <w:highlight w:val="none"/>
              </w:rPr>
              <w:t>0</w:t>
            </w:r>
          </w:p>
          <w:p>
            <w:pPr>
              <w:rPr>
                <w:rFonts w:ascii="仿宋" w:hAnsi="仿宋" w:eastAsia="仿宋"/>
                <w:color w:val="auto"/>
                <w:szCs w:val="21"/>
                <w:highlight w:val="none"/>
              </w:rPr>
            </w:pPr>
            <w:r>
              <w:rPr>
                <w:rFonts w:hint="eastAsia" w:ascii="仿宋" w:hAnsi="仿宋" w:eastAsia="仿宋" w:cs="仿宋_GB2312"/>
                <w:color w:val="auto"/>
                <w:szCs w:val="21"/>
                <w:highlight w:val="none"/>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9"/>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单位条件（3</w:t>
            </w:r>
            <w:r>
              <w:rPr>
                <w:rFonts w:ascii="仿宋" w:hAnsi="仿宋" w:eastAsia="仿宋"/>
                <w:b/>
                <w:bCs/>
                <w:color w:val="auto"/>
                <w:sz w:val="21"/>
                <w:szCs w:val="21"/>
                <w:highlight w:val="none"/>
              </w:rPr>
              <w:t>0</w:t>
            </w:r>
            <w:r>
              <w:rPr>
                <w:rFonts w:hint="eastAsia" w:ascii="仿宋" w:hAnsi="仿宋" w:eastAsia="仿宋"/>
                <w:b/>
                <w:bCs/>
                <w:color w:val="auto"/>
                <w:sz w:val="21"/>
                <w:szCs w:val="21"/>
                <w:highlight w:val="none"/>
              </w:rPr>
              <w:t>分）</w:t>
            </w:r>
          </w:p>
        </w:tc>
        <w:tc>
          <w:tcPr>
            <w:tcW w:w="1191" w:type="dxa"/>
            <w:vAlign w:val="center"/>
          </w:tcPr>
          <w:p>
            <w:pPr>
              <w:pStyle w:val="9"/>
              <w:ind w:firstLine="0" w:firstLineChars="0"/>
              <w:jc w:val="center"/>
              <w:rPr>
                <w:rFonts w:ascii="仿宋" w:hAnsi="仿宋" w:eastAsia="仿宋" w:cs="仿宋_GB2312"/>
                <w:b/>
                <w:bCs/>
                <w:color w:val="auto"/>
                <w:sz w:val="21"/>
                <w:szCs w:val="21"/>
                <w:highlight w:val="none"/>
              </w:rPr>
            </w:pPr>
            <w:r>
              <w:rPr>
                <w:rFonts w:hint="eastAsia" w:ascii="仿宋" w:hAnsi="仿宋" w:eastAsia="仿宋" w:cs="仿宋_GB2312"/>
                <w:b/>
                <w:bCs/>
                <w:color w:val="auto"/>
                <w:sz w:val="21"/>
                <w:szCs w:val="21"/>
                <w:highlight w:val="none"/>
              </w:rPr>
              <w:t>单位资质</w:t>
            </w:r>
          </w:p>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ascii="仿宋" w:hAnsi="仿宋" w:eastAsia="仿宋"/>
                <w:b/>
                <w:bCs/>
                <w:color w:val="auto"/>
                <w:sz w:val="21"/>
                <w:szCs w:val="21"/>
                <w:highlight w:val="none"/>
              </w:rPr>
              <w:t>5</w:t>
            </w:r>
            <w:r>
              <w:rPr>
                <w:rFonts w:hint="eastAsia" w:ascii="仿宋" w:hAnsi="仿宋" w:eastAsia="仿宋"/>
                <w:b/>
                <w:bCs/>
                <w:color w:val="auto"/>
                <w:sz w:val="21"/>
                <w:szCs w:val="21"/>
                <w:highlight w:val="none"/>
              </w:rPr>
              <w:t>分）</w:t>
            </w:r>
          </w:p>
        </w:tc>
        <w:tc>
          <w:tcPr>
            <w:tcW w:w="5106" w:type="dxa"/>
            <w:vAlign w:val="center"/>
          </w:tcPr>
          <w:p>
            <w:pPr>
              <w:pStyle w:val="9"/>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招标单位应</w:t>
            </w:r>
            <w:r>
              <w:rPr>
                <w:rFonts w:hint="eastAsia" w:ascii="仿宋" w:hAnsi="仿宋" w:eastAsia="仿宋"/>
                <w:color w:val="auto"/>
                <w:sz w:val="21"/>
                <w:szCs w:val="21"/>
                <w:highlight w:val="none"/>
                <w:lang w:eastAsia="zh-CN"/>
              </w:rPr>
              <w:t>具备</w:t>
            </w:r>
            <w:r>
              <w:rPr>
                <w:rFonts w:hint="eastAsia" w:ascii="仿宋" w:hAnsi="仿宋" w:eastAsia="仿宋"/>
                <w:color w:val="auto"/>
                <w:sz w:val="21"/>
                <w:szCs w:val="21"/>
                <w:highlight w:val="none"/>
              </w:rPr>
              <w:t>教学场地</w:t>
            </w:r>
            <w:r>
              <w:rPr>
                <w:rFonts w:hint="eastAsia" w:ascii="仿宋" w:hAnsi="仿宋" w:eastAsia="仿宋"/>
                <w:color w:val="auto"/>
                <w:sz w:val="21"/>
                <w:szCs w:val="21"/>
                <w:highlight w:val="none"/>
                <w:lang w:eastAsia="zh-CN"/>
              </w:rPr>
              <w:t>、临床教学实践</w:t>
            </w:r>
            <w:r>
              <w:rPr>
                <w:rFonts w:hint="eastAsia" w:ascii="仿宋" w:hAnsi="仿宋" w:eastAsia="仿宋"/>
                <w:color w:val="auto"/>
                <w:sz w:val="21"/>
                <w:szCs w:val="21"/>
                <w:highlight w:val="none"/>
              </w:rPr>
              <w:t>资源、师资力量和培训经验。根据招标文件的需求和投标文件响应情况进行横向比较，分档评分：供应商资质优秀10-15分，资质良好5-10分，一般5分以下。</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9"/>
              <w:ind w:firstLine="0" w:firstLineChars="0"/>
              <w:rPr>
                <w:rFonts w:ascii="仿宋" w:hAnsi="仿宋" w:eastAsia="仿宋"/>
                <w:b/>
                <w:bCs/>
                <w:color w:val="auto"/>
                <w:sz w:val="21"/>
                <w:szCs w:val="21"/>
                <w:highlight w:val="none"/>
              </w:rPr>
            </w:pPr>
          </w:p>
        </w:tc>
        <w:tc>
          <w:tcPr>
            <w:tcW w:w="1191" w:type="dxa"/>
            <w:vAlign w:val="center"/>
          </w:tcPr>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培训经验</w:t>
            </w:r>
          </w:p>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ascii="仿宋" w:hAnsi="仿宋" w:eastAsia="仿宋"/>
                <w:b/>
                <w:bCs/>
                <w:color w:val="auto"/>
                <w:sz w:val="21"/>
                <w:szCs w:val="21"/>
                <w:highlight w:val="none"/>
              </w:rPr>
              <w:t>5</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在过去3年曾承担/主办医学相关的培训项目。（需要提供证明材料） </w:t>
            </w:r>
          </w:p>
          <w:p>
            <w:pPr>
              <w:rPr>
                <w:rFonts w:hint="eastAsia"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根据培训项目级别、水平和社会效应进行酌情评价。国家层面培训5分/每个，市级层面培训3分/每个，本单位层面培训1分/每个，最高1</w:t>
            </w:r>
            <w:r>
              <w:rPr>
                <w:rFonts w:ascii="仿宋" w:hAnsi="仿宋" w:eastAsia="仿宋" w:cs="仿宋_GB2312"/>
                <w:color w:val="auto"/>
                <w:kern w:val="0"/>
                <w:szCs w:val="21"/>
                <w:highlight w:val="none"/>
              </w:rPr>
              <w:t>5</w:t>
            </w:r>
            <w:r>
              <w:rPr>
                <w:rFonts w:hint="eastAsia" w:ascii="仿宋" w:hAnsi="仿宋" w:eastAsia="仿宋" w:cs="仿宋_GB2312"/>
                <w:color w:val="auto"/>
                <w:kern w:val="0"/>
                <w:szCs w:val="21"/>
                <w:highlight w:val="none"/>
              </w:rPr>
              <w:t xml:space="preserve">分。 </w:t>
            </w:r>
            <w:r>
              <w:rPr>
                <w:rFonts w:ascii="仿宋" w:hAnsi="仿宋" w:eastAsia="仿宋" w:cs="仿宋_GB2312"/>
                <w:color w:val="auto"/>
                <w:kern w:val="0"/>
                <w:szCs w:val="21"/>
                <w:highlight w:val="none"/>
              </w:rPr>
              <w:t xml:space="preserve"> </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9"/>
              <w:ind w:firstLine="422"/>
              <w:rPr>
                <w:rFonts w:ascii="仿宋" w:hAnsi="仿宋" w:eastAsia="仿宋"/>
                <w:b/>
                <w:bCs/>
                <w:color w:val="auto"/>
                <w:sz w:val="21"/>
                <w:szCs w:val="21"/>
                <w:highlight w:val="none"/>
              </w:rPr>
            </w:pPr>
          </w:p>
          <w:p>
            <w:pPr>
              <w:pStyle w:val="9"/>
              <w:ind w:firstLine="422"/>
              <w:rPr>
                <w:rFonts w:ascii="仿宋" w:hAnsi="仿宋" w:eastAsia="仿宋"/>
                <w:b/>
                <w:bCs/>
                <w:color w:val="auto"/>
                <w:sz w:val="21"/>
                <w:szCs w:val="21"/>
                <w:highlight w:val="none"/>
              </w:rPr>
            </w:pPr>
          </w:p>
          <w:p>
            <w:pPr>
              <w:pStyle w:val="9"/>
              <w:ind w:left="1" w:hanging="1"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业务计划（6</w:t>
            </w:r>
            <w:r>
              <w:rPr>
                <w:rFonts w:ascii="仿宋" w:hAnsi="仿宋" w:eastAsia="仿宋"/>
                <w:b/>
                <w:bCs/>
                <w:color w:val="auto"/>
                <w:sz w:val="21"/>
                <w:szCs w:val="21"/>
                <w:highlight w:val="none"/>
              </w:rPr>
              <w:t>0</w:t>
            </w:r>
            <w:r>
              <w:rPr>
                <w:rFonts w:hint="eastAsia" w:ascii="仿宋" w:hAnsi="仿宋" w:eastAsia="仿宋"/>
                <w:b/>
                <w:bCs/>
                <w:color w:val="auto"/>
                <w:sz w:val="21"/>
                <w:szCs w:val="21"/>
                <w:highlight w:val="none"/>
              </w:rPr>
              <w:t>分）</w:t>
            </w:r>
          </w:p>
        </w:tc>
        <w:tc>
          <w:tcPr>
            <w:tcW w:w="1191" w:type="dxa"/>
            <w:vAlign w:val="center"/>
          </w:tcPr>
          <w:p>
            <w:pPr>
              <w:pStyle w:val="9"/>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培训方案</w:t>
            </w:r>
          </w:p>
          <w:p>
            <w:pPr>
              <w:pStyle w:val="9"/>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ascii="仿宋" w:hAnsi="仿宋" w:eastAsia="仿宋"/>
                <w:b/>
                <w:bCs/>
                <w:color w:val="auto"/>
                <w:sz w:val="21"/>
                <w:szCs w:val="21"/>
                <w:highlight w:val="none"/>
              </w:rPr>
              <w:t>25</w:t>
            </w:r>
            <w:r>
              <w:rPr>
                <w:rFonts w:hint="eastAsia" w:ascii="仿宋" w:hAnsi="仿宋" w:eastAsia="仿宋"/>
                <w:b/>
                <w:bCs/>
                <w:color w:val="auto"/>
                <w:sz w:val="21"/>
                <w:szCs w:val="21"/>
                <w:highlight w:val="none"/>
              </w:rPr>
              <w:t>分）</w:t>
            </w:r>
          </w:p>
        </w:tc>
        <w:tc>
          <w:tcPr>
            <w:tcW w:w="5106" w:type="dxa"/>
            <w:vAlign w:val="center"/>
          </w:tcPr>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项目方案科学合理性强、内容详细全面，可行性强,得</w:t>
            </w:r>
            <w:r>
              <w:rPr>
                <w:rFonts w:ascii="仿宋" w:hAnsi="仿宋" w:eastAsia="仿宋" w:cs="仿宋_GB2312"/>
                <w:color w:val="auto"/>
                <w:szCs w:val="21"/>
                <w:highlight w:val="none"/>
              </w:rPr>
              <w:t>20-25</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项目方案科学合理性较强、内容较为详细全面，可行性较好,得</w:t>
            </w:r>
            <w:r>
              <w:rPr>
                <w:rFonts w:ascii="仿宋" w:hAnsi="仿宋" w:eastAsia="仿宋" w:cs="仿宋_GB2312"/>
                <w:color w:val="auto"/>
                <w:szCs w:val="21"/>
                <w:highlight w:val="none"/>
              </w:rPr>
              <w:t>14-19</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项目方案科学合理、内容一般，有可行性,得</w:t>
            </w:r>
            <w:r>
              <w:rPr>
                <w:rFonts w:ascii="仿宋" w:hAnsi="仿宋" w:eastAsia="仿宋" w:cs="仿宋_GB2312"/>
                <w:color w:val="auto"/>
                <w:szCs w:val="21"/>
                <w:highlight w:val="none"/>
              </w:rPr>
              <w:t>8-13</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项目方案科学合理较差、内容不充实，可行性差,得</w:t>
            </w:r>
            <w:r>
              <w:rPr>
                <w:rFonts w:ascii="仿宋" w:hAnsi="仿宋" w:eastAsia="仿宋" w:cs="仿宋_GB2312"/>
                <w:color w:val="auto"/>
                <w:szCs w:val="21"/>
                <w:highlight w:val="none"/>
              </w:rPr>
              <w:t>0-7</w:t>
            </w:r>
            <w:r>
              <w:rPr>
                <w:rFonts w:hint="eastAsia" w:ascii="仿宋" w:hAnsi="仿宋" w:eastAsia="仿宋" w:cs="仿宋_GB2312"/>
                <w:color w:val="auto"/>
                <w:szCs w:val="21"/>
                <w:highlight w:val="none"/>
              </w:rPr>
              <w:t>分。</w:t>
            </w:r>
          </w:p>
        </w:tc>
        <w:tc>
          <w:tcPr>
            <w:tcW w:w="851" w:type="dxa"/>
          </w:tcPr>
          <w:p>
            <w:pPr>
              <w:pStyle w:val="9"/>
              <w:ind w:firstLine="0" w:firstLineChars="0"/>
              <w:jc w:val="center"/>
              <w:rPr>
                <w:rFonts w:ascii="仿宋" w:hAnsi="仿宋" w:eastAsia="仿宋"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9"/>
              <w:ind w:firstLine="422"/>
              <w:rPr>
                <w:rFonts w:ascii="仿宋" w:hAnsi="仿宋" w:eastAsia="仿宋"/>
                <w:b/>
                <w:bCs/>
                <w:color w:val="auto"/>
                <w:sz w:val="21"/>
                <w:szCs w:val="21"/>
                <w:highlight w:val="none"/>
              </w:rPr>
            </w:pPr>
          </w:p>
        </w:tc>
        <w:tc>
          <w:tcPr>
            <w:tcW w:w="1191" w:type="dxa"/>
            <w:vAlign w:val="center"/>
          </w:tcPr>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培训师资</w:t>
            </w:r>
          </w:p>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（10分）</w:t>
            </w:r>
          </w:p>
        </w:tc>
        <w:tc>
          <w:tcPr>
            <w:tcW w:w="5106" w:type="dxa"/>
            <w:vAlign w:val="center"/>
          </w:tcPr>
          <w:p>
            <w:pPr>
              <w:rPr>
                <w:rFonts w:ascii="仿宋" w:hAnsi="仿宋" w:eastAsia="仿宋"/>
                <w:color w:val="auto"/>
                <w:szCs w:val="21"/>
                <w:highlight w:val="none"/>
              </w:rPr>
            </w:pPr>
            <w:r>
              <w:rPr>
                <w:rFonts w:hint="eastAsia" w:ascii="仿宋" w:hAnsi="仿宋" w:eastAsia="仿宋"/>
                <w:color w:val="auto"/>
                <w:szCs w:val="21"/>
                <w:highlight w:val="none"/>
              </w:rPr>
              <w:t>授课师资中，高校知名教授/副教授、副主任护师/主任护师/专科护士、老年健康照护相关专家所占比例不低于60％，授课教师需熟悉老年健康政策、临床护理、老年健康照护相关内容或医疗项目运营等相关内容，具备较好的理论知识和技能，具备熟练的授课经验，且沟通能力及表达能力俱佳。</w:t>
            </w:r>
          </w:p>
          <w:p>
            <w:pPr>
              <w:rPr>
                <w:rFonts w:ascii="仿宋" w:hAnsi="仿宋" w:eastAsia="仿宋" w:cs="仿宋_GB2312"/>
                <w:color w:val="auto"/>
                <w:szCs w:val="21"/>
                <w:highlight w:val="none"/>
              </w:rPr>
            </w:pPr>
            <w:r>
              <w:rPr>
                <w:rFonts w:hint="eastAsia" w:ascii="仿宋" w:hAnsi="仿宋" w:eastAsia="仿宋"/>
                <w:color w:val="auto"/>
                <w:szCs w:val="21"/>
                <w:highlight w:val="none"/>
              </w:rPr>
              <w:t>师资符合要求且水平较高者计</w:t>
            </w:r>
            <w:r>
              <w:rPr>
                <w:rFonts w:ascii="仿宋" w:hAnsi="仿宋" w:eastAsia="仿宋"/>
                <w:color w:val="auto"/>
                <w:szCs w:val="21"/>
                <w:highlight w:val="none"/>
              </w:rPr>
              <w:t>7-10</w:t>
            </w:r>
            <w:r>
              <w:rPr>
                <w:rFonts w:hint="eastAsia" w:ascii="仿宋" w:hAnsi="仿宋" w:eastAsia="仿宋"/>
                <w:color w:val="auto"/>
                <w:szCs w:val="21"/>
                <w:highlight w:val="none"/>
              </w:rPr>
              <w:t>分；师资部分符合要求计</w:t>
            </w:r>
            <w:r>
              <w:rPr>
                <w:rFonts w:ascii="仿宋" w:hAnsi="仿宋" w:eastAsia="仿宋"/>
                <w:color w:val="auto"/>
                <w:szCs w:val="21"/>
                <w:highlight w:val="none"/>
              </w:rPr>
              <w:t>3-6</w:t>
            </w:r>
            <w:r>
              <w:rPr>
                <w:rFonts w:hint="eastAsia" w:ascii="仿宋" w:hAnsi="仿宋" w:eastAsia="仿宋"/>
                <w:color w:val="auto"/>
                <w:szCs w:val="21"/>
                <w:highlight w:val="none"/>
              </w:rPr>
              <w:t>分；师资不符合要求者计0</w:t>
            </w:r>
            <w:r>
              <w:rPr>
                <w:rFonts w:ascii="仿宋" w:hAnsi="仿宋" w:eastAsia="仿宋"/>
                <w:color w:val="auto"/>
                <w:szCs w:val="21"/>
                <w:highlight w:val="none"/>
              </w:rPr>
              <w:t>-3</w:t>
            </w:r>
            <w:r>
              <w:rPr>
                <w:rFonts w:hint="eastAsia" w:ascii="仿宋" w:hAnsi="仿宋" w:eastAsia="仿宋"/>
                <w:color w:val="auto"/>
                <w:szCs w:val="21"/>
                <w:highlight w:val="none"/>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1182" w:type="dxa"/>
            <w:vMerge w:val="continue"/>
          </w:tcPr>
          <w:p>
            <w:pPr>
              <w:pStyle w:val="9"/>
              <w:ind w:firstLine="0" w:firstLineChars="0"/>
              <w:rPr>
                <w:rFonts w:ascii="仿宋" w:hAnsi="仿宋" w:eastAsia="仿宋"/>
                <w:b/>
                <w:bCs/>
                <w:color w:val="auto"/>
                <w:sz w:val="21"/>
                <w:szCs w:val="21"/>
                <w:highlight w:val="none"/>
              </w:rPr>
            </w:pPr>
          </w:p>
        </w:tc>
        <w:tc>
          <w:tcPr>
            <w:tcW w:w="1191" w:type="dxa"/>
            <w:vAlign w:val="center"/>
          </w:tcPr>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组织管理</w:t>
            </w:r>
          </w:p>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10</w:t>
            </w:r>
            <w:r>
              <w:rPr>
                <w:rFonts w:hint="eastAsia" w:ascii="仿宋" w:hAnsi="仿宋" w:eastAsia="仿宋"/>
                <w:b/>
                <w:bCs/>
                <w:color w:val="auto"/>
                <w:sz w:val="21"/>
                <w:szCs w:val="21"/>
                <w:highlight w:val="none"/>
              </w:rPr>
              <w:t>分）</w:t>
            </w:r>
          </w:p>
        </w:tc>
        <w:tc>
          <w:tcPr>
            <w:tcW w:w="5106" w:type="dxa"/>
            <w:vAlign w:val="center"/>
          </w:tcPr>
          <w:p>
            <w:pPr>
              <w:rPr>
                <w:rFonts w:ascii="仿宋" w:hAnsi="仿宋" w:eastAsia="仿宋"/>
                <w:b/>
                <w:bCs/>
                <w:color w:val="auto"/>
                <w:szCs w:val="21"/>
                <w:highlight w:val="none"/>
              </w:rPr>
            </w:pPr>
            <w:r>
              <w:rPr>
                <w:rFonts w:hint="eastAsia" w:ascii="仿宋" w:hAnsi="仿宋" w:eastAsia="仿宋"/>
                <w:b/>
                <w:bCs/>
                <w:color w:val="auto"/>
                <w:szCs w:val="21"/>
                <w:highlight w:val="none"/>
              </w:rPr>
              <w:t>人员配备：</w:t>
            </w:r>
          </w:p>
          <w:p>
            <w:pPr>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拟投入本项目的管理人员及组织分工情况评价：</w:t>
            </w:r>
          </w:p>
          <w:p>
            <w:pPr>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基本要求，项目组织管理团队核心成员不少于</w:t>
            </w:r>
            <w:r>
              <w:rPr>
                <w:rFonts w:ascii="仿宋" w:hAnsi="仿宋" w:eastAsia="仿宋"/>
                <w:color w:val="auto"/>
                <w:szCs w:val="21"/>
                <w:highlight w:val="none"/>
              </w:rPr>
              <w:t>3</w:t>
            </w:r>
            <w:r>
              <w:rPr>
                <w:rFonts w:hint="eastAsia" w:ascii="仿宋" w:hAnsi="仿宋" w:eastAsia="仿宋"/>
                <w:color w:val="auto"/>
                <w:szCs w:val="21"/>
                <w:highlight w:val="none"/>
              </w:rPr>
              <w:t>人,熟悉老年护理、教育教学培训相关工作，中级或高级职称，人事关系隶属本单位对应部门。</w:t>
            </w:r>
          </w:p>
          <w:p>
            <w:pPr>
              <w:rPr>
                <w:rFonts w:ascii="仿宋" w:hAnsi="仿宋" w:eastAsia="仿宋"/>
                <w:color w:val="auto"/>
                <w:szCs w:val="21"/>
                <w:highlight w:val="none"/>
              </w:rPr>
            </w:pPr>
            <w:r>
              <w:rPr>
                <w:rFonts w:hint="eastAsia" w:ascii="仿宋" w:hAnsi="仿宋" w:eastAsia="仿宋"/>
                <w:color w:val="auto"/>
                <w:szCs w:val="21"/>
                <w:highlight w:val="none"/>
              </w:rPr>
              <w:t>（1）类似工作经验丰富，学历（专业）优于/符合要求，分工明确，组织合理，与项目实际契合度高，得7-10分；</w:t>
            </w:r>
          </w:p>
          <w:p>
            <w:pPr>
              <w:rPr>
                <w:rFonts w:ascii="仿宋" w:hAnsi="仿宋" w:eastAsia="仿宋"/>
                <w:color w:val="auto"/>
                <w:szCs w:val="21"/>
                <w:highlight w:val="none"/>
              </w:rPr>
            </w:pPr>
            <w:r>
              <w:rPr>
                <w:rFonts w:hint="eastAsia" w:ascii="仿宋" w:hAnsi="仿宋" w:eastAsia="仿宋"/>
                <w:color w:val="auto"/>
                <w:szCs w:val="21"/>
                <w:highlight w:val="none"/>
              </w:rPr>
              <w:t>（2）类似工作经验较丰富，学历（专业）符合要求，分工较明确，组织较合理，与项目实际契合度较高，得4-6分；</w:t>
            </w:r>
          </w:p>
          <w:p>
            <w:pPr>
              <w:rPr>
                <w:rFonts w:ascii="仿宋" w:hAnsi="仿宋" w:eastAsia="仿宋"/>
                <w:color w:val="auto"/>
                <w:szCs w:val="21"/>
                <w:highlight w:val="none"/>
              </w:rPr>
            </w:pPr>
            <w:r>
              <w:rPr>
                <w:rFonts w:hint="eastAsia" w:ascii="仿宋" w:hAnsi="仿宋" w:eastAsia="仿宋"/>
                <w:color w:val="auto"/>
                <w:szCs w:val="21"/>
                <w:highlight w:val="none"/>
              </w:rPr>
              <w:t>（3）类似工作经验一般，学历（专业）基本满足要求，分工一般，组织一般，与项目实际契合度一般，得1-3分；</w:t>
            </w:r>
          </w:p>
          <w:p>
            <w:pPr>
              <w:rPr>
                <w:rFonts w:ascii="仿宋" w:hAnsi="仿宋" w:eastAsia="仿宋"/>
                <w:color w:val="auto"/>
                <w:szCs w:val="21"/>
                <w:highlight w:val="none"/>
              </w:rPr>
            </w:pPr>
            <w:r>
              <w:rPr>
                <w:rFonts w:hint="eastAsia" w:ascii="仿宋" w:hAnsi="仿宋" w:eastAsia="仿宋"/>
                <w:color w:val="auto"/>
                <w:szCs w:val="21"/>
                <w:highlight w:val="none"/>
              </w:rPr>
              <w:t>（4）类似工作经验较差，学历（专业）较差，分工不明确，组织不太合理，无法满足实际需要，得0分。</w:t>
            </w:r>
          </w:p>
          <w:p>
            <w:pPr>
              <w:rPr>
                <w:rFonts w:hint="eastAsia"/>
                <w:color w:val="auto"/>
                <w:highlight w:val="none"/>
              </w:rPr>
            </w:pPr>
            <w:r>
              <w:rPr>
                <w:rFonts w:hint="eastAsia" w:ascii="仿宋" w:hAnsi="仿宋" w:eastAsia="仿宋"/>
                <w:color w:val="auto"/>
                <w:szCs w:val="21"/>
                <w:highlight w:val="none"/>
              </w:rPr>
              <w:t>注：需提供项目团队人员简介、人事隶属关系及学历资质证明。</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1182" w:type="dxa"/>
            <w:vMerge w:val="continue"/>
          </w:tcPr>
          <w:p>
            <w:pPr>
              <w:pStyle w:val="9"/>
              <w:ind w:firstLine="0" w:firstLineChars="0"/>
              <w:rPr>
                <w:rFonts w:ascii="仿宋" w:hAnsi="仿宋" w:eastAsia="仿宋"/>
                <w:b/>
                <w:bCs/>
                <w:color w:val="auto"/>
                <w:sz w:val="21"/>
                <w:szCs w:val="21"/>
                <w:highlight w:val="none"/>
              </w:rPr>
            </w:pPr>
          </w:p>
        </w:tc>
        <w:tc>
          <w:tcPr>
            <w:tcW w:w="1191" w:type="dxa"/>
            <w:vAlign w:val="center"/>
          </w:tcPr>
          <w:p>
            <w:pPr>
              <w:pStyle w:val="9"/>
              <w:ind w:firstLine="0" w:firstLineChars="0"/>
              <w:jc w:val="center"/>
              <w:rPr>
                <w:rFonts w:ascii="仿宋" w:hAnsi="仿宋" w:eastAsia="仿宋"/>
                <w:b/>
                <w:bCs/>
                <w:color w:val="auto"/>
                <w:sz w:val="21"/>
                <w:szCs w:val="21"/>
                <w:highlight w:val="none"/>
              </w:rPr>
            </w:pPr>
          </w:p>
          <w:p>
            <w:pPr>
              <w:pStyle w:val="9"/>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经费管理</w:t>
            </w:r>
          </w:p>
          <w:p>
            <w:pPr>
              <w:pStyle w:val="9"/>
              <w:ind w:left="0" w:leftChars="0"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b/>
                <w:bCs/>
                <w:color w:val="auto"/>
                <w:sz w:val="21"/>
                <w:szCs w:val="21"/>
                <w:highlight w:val="none"/>
              </w:rPr>
              <w:t>（10分）</w:t>
            </w:r>
          </w:p>
        </w:tc>
        <w:tc>
          <w:tcPr>
            <w:tcW w:w="5106" w:type="dxa"/>
            <w:vAlign w:val="center"/>
          </w:tcPr>
          <w:p>
            <w:pPr>
              <w:pStyle w:val="9"/>
              <w:ind w:left="0" w:leftChars="0" w:firstLine="0" w:firstLine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仿宋_GB2312"/>
                <w:color w:val="auto"/>
                <w:sz w:val="21"/>
                <w:szCs w:val="21"/>
                <w:highlight w:val="none"/>
              </w:rPr>
              <w:t>提供资金使用安全性的说明文件（</w:t>
            </w:r>
            <w:r>
              <w:rPr>
                <w:rFonts w:ascii="仿宋" w:hAnsi="仿宋" w:eastAsia="仿宋" w:cs="仿宋_GB2312"/>
                <w:color w:val="auto"/>
                <w:sz w:val="21"/>
                <w:szCs w:val="21"/>
                <w:highlight w:val="none"/>
              </w:rPr>
              <w:t>4</w:t>
            </w:r>
            <w:r>
              <w:rPr>
                <w:rFonts w:hint="eastAsia" w:ascii="仿宋" w:hAnsi="仿宋" w:eastAsia="仿宋" w:cs="仿宋_GB2312"/>
                <w:color w:val="auto"/>
                <w:sz w:val="21"/>
                <w:szCs w:val="21"/>
                <w:highlight w:val="none"/>
              </w:rPr>
              <w:t>分）和相关财务制度（</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分），并安排财务部门专人负责本项目经费的管理（</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9"/>
              <w:ind w:firstLine="0" w:firstLineChars="0"/>
              <w:rPr>
                <w:rFonts w:ascii="仿宋" w:hAnsi="仿宋" w:eastAsia="仿宋"/>
                <w:b/>
                <w:bCs/>
                <w:color w:val="auto"/>
                <w:sz w:val="21"/>
                <w:szCs w:val="21"/>
                <w:highlight w:val="none"/>
              </w:rPr>
            </w:pPr>
          </w:p>
        </w:tc>
        <w:tc>
          <w:tcPr>
            <w:tcW w:w="1191" w:type="dxa"/>
            <w:vAlign w:val="center"/>
          </w:tcPr>
          <w:p>
            <w:pPr>
              <w:jc w:val="center"/>
              <w:rPr>
                <w:rFonts w:ascii="仿宋" w:hAnsi="仿宋" w:eastAsia="仿宋"/>
                <w:b/>
                <w:bCs/>
                <w:color w:val="auto"/>
                <w:szCs w:val="21"/>
                <w:highlight w:val="none"/>
              </w:rPr>
            </w:pPr>
          </w:p>
          <w:p>
            <w:pPr>
              <w:rPr>
                <w:rFonts w:ascii="仿宋" w:hAnsi="仿宋" w:eastAsia="仿宋"/>
                <w:b/>
                <w:bCs/>
                <w:color w:val="auto"/>
                <w:szCs w:val="21"/>
                <w:highlight w:val="none"/>
              </w:rPr>
            </w:pPr>
            <w:r>
              <w:rPr>
                <w:rFonts w:hint="eastAsia" w:ascii="仿宋" w:hAnsi="仿宋" w:eastAsia="仿宋"/>
                <w:b/>
                <w:bCs/>
                <w:color w:val="auto"/>
                <w:szCs w:val="21"/>
                <w:highlight w:val="none"/>
              </w:rPr>
              <w:t>服务承诺</w:t>
            </w:r>
          </w:p>
          <w:p>
            <w:pPr>
              <w:rPr>
                <w:rFonts w:ascii="仿宋" w:hAnsi="仿宋" w:eastAsia="仿宋"/>
                <w:b/>
                <w:bCs/>
                <w:color w:val="auto"/>
                <w:szCs w:val="21"/>
                <w:highlight w:val="none"/>
              </w:rPr>
            </w:pPr>
            <w:r>
              <w:rPr>
                <w:rFonts w:hint="eastAsia" w:ascii="仿宋" w:hAnsi="仿宋" w:eastAsia="仿宋"/>
                <w:b/>
                <w:bCs/>
                <w:color w:val="auto"/>
                <w:szCs w:val="21"/>
                <w:highlight w:val="none"/>
              </w:rPr>
              <w:t>（5分）</w:t>
            </w:r>
          </w:p>
          <w:p>
            <w:pPr>
              <w:pStyle w:val="9"/>
              <w:ind w:left="0" w:leftChars="0" w:firstLine="421" w:firstLineChars="200"/>
              <w:rPr>
                <w:rFonts w:ascii="仿宋" w:hAnsi="仿宋" w:eastAsia="仿宋" w:cs="Times New Roman"/>
                <w:b/>
                <w:bCs/>
                <w:color w:val="auto"/>
                <w:kern w:val="2"/>
                <w:sz w:val="21"/>
                <w:szCs w:val="21"/>
                <w:highlight w:val="none"/>
                <w:lang w:val="en-US" w:eastAsia="zh-CN" w:bidi="ar-SA"/>
              </w:rPr>
            </w:pPr>
          </w:p>
        </w:tc>
        <w:tc>
          <w:tcPr>
            <w:tcW w:w="5106" w:type="dxa"/>
            <w:vAlign w:val="center"/>
          </w:tcPr>
          <w:p>
            <w:pPr>
              <w:rPr>
                <w:rFonts w:ascii="仿宋" w:hAnsi="仿宋" w:eastAsia="仿宋"/>
                <w:color w:val="auto"/>
                <w:szCs w:val="21"/>
                <w:highlight w:val="none"/>
              </w:rPr>
            </w:pPr>
            <w:r>
              <w:rPr>
                <w:rFonts w:hint="eastAsia" w:ascii="仿宋" w:hAnsi="仿宋" w:eastAsia="仿宋"/>
                <w:color w:val="auto"/>
                <w:szCs w:val="21"/>
                <w:highlight w:val="none"/>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rPr>
              <w:t>根据招标文件的需求和投标文件响应情况进行横向比较，分档评分：优4</w:t>
            </w:r>
            <w:r>
              <w:rPr>
                <w:rFonts w:ascii="仿宋" w:hAnsi="仿宋" w:eastAsia="仿宋"/>
                <w:color w:val="auto"/>
                <w:szCs w:val="21"/>
                <w:highlight w:val="none"/>
              </w:rPr>
              <w:t>-5</w:t>
            </w:r>
            <w:r>
              <w:rPr>
                <w:rFonts w:hint="eastAsia" w:ascii="仿宋" w:hAnsi="仿宋" w:eastAsia="仿宋"/>
                <w:color w:val="auto"/>
                <w:szCs w:val="21"/>
                <w:highlight w:val="none"/>
              </w:rPr>
              <w:t>分;良3分；一般</w:t>
            </w:r>
            <w:r>
              <w:rPr>
                <w:rFonts w:ascii="仿宋" w:hAnsi="仿宋" w:eastAsia="仿宋"/>
                <w:color w:val="auto"/>
                <w:szCs w:val="21"/>
                <w:highlight w:val="none"/>
              </w:rPr>
              <w:t>1-2</w:t>
            </w:r>
            <w:r>
              <w:rPr>
                <w:rFonts w:hint="eastAsia" w:ascii="仿宋" w:hAnsi="仿宋" w:eastAsia="仿宋"/>
                <w:color w:val="auto"/>
                <w:szCs w:val="21"/>
                <w:highlight w:val="none"/>
              </w:rPr>
              <w:t xml:space="preserve">分；差不得分。 </w:t>
            </w:r>
          </w:p>
        </w:tc>
        <w:tc>
          <w:tcPr>
            <w:tcW w:w="851" w:type="dxa"/>
          </w:tcPr>
          <w:p>
            <w:pPr>
              <w:jc w:val="center"/>
              <w:rPr>
                <w:rFonts w:ascii="仿宋" w:hAnsi="仿宋" w:eastAsia="仿宋"/>
                <w:color w:val="auto"/>
                <w:szCs w:val="21"/>
                <w:highlight w:val="none"/>
              </w:rPr>
            </w:pPr>
          </w:p>
        </w:tc>
      </w:tr>
    </w:tbl>
    <w:p>
      <w:pPr>
        <w:rPr>
          <w:b/>
        </w:rPr>
      </w:pPr>
    </w:p>
    <w:p/>
    <w:p>
      <w:pPr>
        <w:rPr>
          <w:rFonts w:ascii="仿宋" w:hAnsi="仿宋" w:eastAsia="仿宋" w:cs="宋体"/>
          <w:szCs w:val="21"/>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A4DDA"/>
    <w:rsid w:val="004D73E0"/>
    <w:rsid w:val="004F644E"/>
    <w:rsid w:val="00504DC9"/>
    <w:rsid w:val="00515BAC"/>
    <w:rsid w:val="006337E9"/>
    <w:rsid w:val="006975EE"/>
    <w:rsid w:val="006F7B9A"/>
    <w:rsid w:val="0072607C"/>
    <w:rsid w:val="007A7660"/>
    <w:rsid w:val="00883370"/>
    <w:rsid w:val="008A2C42"/>
    <w:rsid w:val="0099485C"/>
    <w:rsid w:val="00B33D64"/>
    <w:rsid w:val="00B927D3"/>
    <w:rsid w:val="00BA4C9E"/>
    <w:rsid w:val="00C93AE2"/>
    <w:rsid w:val="00CA49E3"/>
    <w:rsid w:val="00D875C2"/>
    <w:rsid w:val="00DB1122"/>
    <w:rsid w:val="00FF1677"/>
    <w:rsid w:val="3DFB4AE3"/>
    <w:rsid w:val="3F957C77"/>
    <w:rsid w:val="4BEF5F9E"/>
    <w:rsid w:val="534A4F32"/>
    <w:rsid w:val="5FEF2523"/>
    <w:rsid w:val="7E79C52E"/>
    <w:rsid w:val="7EF0D426"/>
    <w:rsid w:val="D7FFFEB3"/>
    <w:rsid w:val="EF777469"/>
    <w:rsid w:val="EFEEB3D5"/>
    <w:rsid w:val="FBFFE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Indent"/>
    <w:basedOn w:val="1"/>
    <w:qFormat/>
    <w:uiPriority w:val="0"/>
    <w:pPr>
      <w:ind w:firstLine="560" w:firstLineChars="200"/>
    </w:pPr>
    <w:rPr>
      <w:sz w:val="28"/>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nhideWhenUsed/>
    <w:qFormat/>
    <w:uiPriority w:val="99"/>
    <w:rPr>
      <w:b/>
      <w:bCs/>
    </w:rPr>
  </w:style>
  <w:style w:type="paragraph" w:styleId="9">
    <w:name w:val="Body Text First Indent 2"/>
    <w:basedOn w:val="4"/>
    <w:qFormat/>
    <w:uiPriority w:val="0"/>
    <w:pPr>
      <w:ind w:firstLine="420"/>
    </w:p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3"/>
    <w:semiHidden/>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5"/>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327</Words>
  <Characters>1867</Characters>
  <Lines>15</Lines>
  <Paragraphs>4</Paragraphs>
  <TotalTime>1</TotalTime>
  <ScaleCrop>false</ScaleCrop>
  <LinksUpToDate>false</LinksUpToDate>
  <CharactersWithSpaces>2190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2022-04-21T20:00:00Z</dcterms:created>
  <dc:creator>强文晓</dc:creator>
  <cp:lastModifiedBy>admin</cp:lastModifiedBy>
  <dcterms:modified xsi:type="dcterms:W3CDTF">2024-04-09T14:53:37Z</dcterms:modified>
  <dc:title>申请人须知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