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1、合格供应商的条件：</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1）在中华人民共和国境内注册，具有本项目实施能力，符合、承认并承诺履行本遴选文件各项规定的供应商。</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2</w:t>
      </w:r>
      <w:r>
        <w:rPr>
          <w:rFonts w:hint="eastAsia" w:ascii="仿宋" w:hAnsi="仿宋" w:eastAsia="仿宋" w:cs="宋体"/>
          <w:bCs/>
          <w:sz w:val="28"/>
          <w:szCs w:val="28"/>
        </w:rPr>
        <w:t>）供应商应遵守中华人民共和国有关的国家法律、法规和条例。</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）单位负责人为同一人或者报价存在直接控股、管理关系的不同供应商，不得同时参加本项目遴选。违反规定的，相关报价均无效。</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4）供应商不得被列入相关部门规定的失信被执行人、重大税收违法案件当事人名单、政府采购严重违法失信行为记录名单。</w:t>
      </w:r>
    </w:p>
    <w:p>
      <w:pPr>
        <w:spacing w:line="360" w:lineRule="auto"/>
        <w:rPr>
          <w:rFonts w:ascii="仿宋" w:hAnsi="仿宋" w:eastAsia="仿宋" w:cs="宋体"/>
          <w:bCs/>
          <w:sz w:val="28"/>
          <w:szCs w:val="28"/>
        </w:rPr>
      </w:pPr>
      <w:r>
        <w:rPr>
          <w:rFonts w:hint="eastAsia" w:ascii="仿宋" w:hAnsi="仿宋" w:eastAsia="仿宋" w:cs="宋体"/>
          <w:bCs/>
          <w:sz w:val="28"/>
          <w:szCs w:val="28"/>
        </w:rPr>
        <w:t>2、遴选响应文件签署和盖章要求：遴选响应文件需打印或用不退色墨水书写，由申请人的法定代表人或其授权代表在遴选文件规定的地方签字，并进行逐页盖章或加盖骑缝章。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3、遴选小组对申请人的遴选响应文件进行商务审查，以确定其是否满足遴选文件的实质性要求，并形成商务审查结果。申请人有任何一项不符合《商务审查表》要求的，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567"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是否为独立法人</w:t>
            </w:r>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4、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5、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ascii="仿宋" w:hAnsi="仿宋" w:eastAsia="仿宋" w:cs="宋体"/>
          <w:bCs/>
          <w:sz w:val="28"/>
          <w:szCs w:val="28"/>
        </w:rPr>
      </w:pPr>
      <w:r>
        <w:rPr>
          <w:rFonts w:hint="eastAsia" w:ascii="仿宋" w:hAnsi="仿宋" w:eastAsia="仿宋" w:cs="宋体"/>
          <w:bCs/>
          <w:sz w:val="28"/>
          <w:szCs w:val="28"/>
        </w:rPr>
        <w:t>6、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pPr>
        <w:spacing w:line="360" w:lineRule="auto"/>
        <w:rPr>
          <w:rFonts w:ascii="仿宋" w:hAnsi="仿宋" w:eastAsia="仿宋" w:cs="宋体"/>
          <w:bCs/>
          <w:sz w:val="28"/>
          <w:szCs w:val="28"/>
        </w:rPr>
      </w:pPr>
      <w:r>
        <w:rPr>
          <w:rFonts w:hint="eastAsia" w:ascii="仿宋" w:hAnsi="仿宋" w:eastAsia="仿宋" w:cs="宋体"/>
          <w:bCs/>
          <w:sz w:val="28"/>
          <w:szCs w:val="28"/>
        </w:rPr>
        <w:t>7、成交供应商拒绝与采购人签订合同的，采购人可以按照评审报告推荐的成交候选人名单排序，确定下一候选人为成交供应商，也可以重新开展采购活动。</w:t>
      </w:r>
    </w:p>
    <w:p>
      <w:pPr>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pPr>
        <w:keepNext/>
        <w:widowControl/>
        <w:adjustRightInd w:val="0"/>
        <w:snapToGrid w:val="0"/>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1"/>
        <w:tblpPr w:leftFromText="180" w:rightFromText="180" w:vertAnchor="page" w:horzAnchor="page" w:tblpX="1878" w:tblpY="2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117"/>
        <w:gridCol w:w="1729"/>
        <w:gridCol w:w="4326"/>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内</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容</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项目</w:t>
            </w:r>
          </w:p>
        </w:tc>
        <w:tc>
          <w:tcPr>
            <w:tcW w:w="4326"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标准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价格部分（10分）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w:t>
            </w:r>
          </w:p>
        </w:tc>
        <w:tc>
          <w:tcPr>
            <w:tcW w:w="4326" w:type="dxa"/>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报价得分=（评标基准价/报价）×价格权值×100</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商务</w:t>
            </w:r>
          </w:p>
          <w:p>
            <w:pPr>
              <w:widowControl/>
              <w:jc w:val="left"/>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单位资质</w:t>
            </w:r>
          </w:p>
        </w:tc>
        <w:tc>
          <w:tcPr>
            <w:tcW w:w="4326" w:type="dxa"/>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在中华人民共和国境内注册，具有独立承担民事责任的能力和经营许可，具备开展</w:t>
            </w:r>
            <w:r>
              <w:rPr>
                <w:rFonts w:hint="eastAsia" w:ascii="仿宋" w:hAnsi="仿宋" w:eastAsia="仿宋" w:cs="仿宋"/>
                <w:sz w:val="24"/>
                <w:szCs w:val="24"/>
                <w:lang w:eastAsia="zh-CN"/>
              </w:rPr>
              <w:t>安宁疗护人才培训</w:t>
            </w:r>
            <w:r>
              <w:rPr>
                <w:rFonts w:hint="eastAsia" w:ascii="仿宋" w:hAnsi="仿宋" w:eastAsia="仿宋" w:cs="仿宋"/>
                <w:sz w:val="24"/>
                <w:szCs w:val="24"/>
              </w:rPr>
              <w:t>工作条件的医疗机构、企事业单位、学会和社会团体</w:t>
            </w:r>
            <w:r>
              <w:rPr>
                <w:rFonts w:hint="eastAsia" w:ascii="仿宋" w:hAnsi="仿宋" w:eastAsia="仿宋" w:cs="仿宋"/>
                <w:sz w:val="24"/>
                <w:szCs w:val="24"/>
                <w:lang w:eastAsia="zh-CN"/>
              </w:rPr>
              <w:t>等</w:t>
            </w:r>
            <w:r>
              <w:rPr>
                <w:rFonts w:hint="eastAsia" w:ascii="仿宋" w:hAnsi="仿宋" w:eastAsia="仿宋" w:cs="仿宋"/>
                <w:sz w:val="24"/>
                <w:szCs w:val="24"/>
              </w:rPr>
              <w:t>。能安排学员在二级及以上医疗机构实习。</w:t>
            </w:r>
          </w:p>
          <w:p>
            <w:pPr>
              <w:widowControl/>
              <w:spacing w:line="300" w:lineRule="exact"/>
              <w:rPr>
                <w:rFonts w:ascii="仿宋" w:hAnsi="仿宋" w:eastAsia="仿宋" w:cs="仿宋"/>
                <w:color w:val="000000"/>
                <w:kern w:val="0"/>
                <w:sz w:val="24"/>
                <w:szCs w:val="24"/>
              </w:rPr>
            </w:pPr>
            <w:r>
              <w:rPr>
                <w:rFonts w:hint="eastAsia" w:ascii="仿宋" w:hAnsi="仿宋" w:eastAsia="仿宋" w:cs="仿宋"/>
                <w:sz w:val="24"/>
                <w:szCs w:val="24"/>
              </w:rPr>
              <w:t>根据招标文件的需求和投标文件响应情况进行横向比较，分档评分：供应商资质优秀8-10分，资质良好5-7分，一般1-4分。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供应商业绩</w:t>
            </w:r>
          </w:p>
        </w:tc>
        <w:tc>
          <w:tcPr>
            <w:tcW w:w="4326" w:type="dxa"/>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在过去3年（20</w:t>
            </w:r>
            <w:r>
              <w:rPr>
                <w:rFonts w:hint="eastAsia" w:ascii="仿宋" w:hAnsi="仿宋" w:eastAsia="仿宋" w:cs="仿宋"/>
                <w:sz w:val="24"/>
                <w:szCs w:val="24"/>
                <w:lang w:val="en-US" w:eastAsia="zh-CN"/>
              </w:rPr>
              <w:t>22</w:t>
            </w:r>
            <w:r>
              <w:rPr>
                <w:rFonts w:hint="eastAsia" w:ascii="仿宋" w:hAnsi="仿宋" w:eastAsia="仿宋" w:cs="仿宋"/>
                <w:sz w:val="24"/>
                <w:szCs w:val="24"/>
              </w:rPr>
              <w:t>年1月始）曾承担/主办</w:t>
            </w:r>
            <w:r>
              <w:rPr>
                <w:rFonts w:hint="eastAsia" w:ascii="仿宋" w:hAnsi="仿宋" w:eastAsia="仿宋" w:cs="仿宋"/>
                <w:sz w:val="24"/>
                <w:szCs w:val="24"/>
                <w:lang w:eastAsia="zh-CN"/>
              </w:rPr>
              <w:t>医学、护理或</w:t>
            </w:r>
            <w:r>
              <w:rPr>
                <w:rFonts w:hint="eastAsia" w:ascii="仿宋" w:hAnsi="仿宋" w:eastAsia="仿宋" w:cs="仿宋"/>
                <w:sz w:val="24"/>
                <w:szCs w:val="24"/>
              </w:rPr>
              <w:t xml:space="preserve">相关培训项目，包括继续教育项目。（需要提供证明材料） </w:t>
            </w:r>
          </w:p>
          <w:p>
            <w:pPr>
              <w:widowControl/>
              <w:spacing w:line="300" w:lineRule="exact"/>
              <w:rPr>
                <w:rFonts w:ascii="仿宋" w:hAnsi="仿宋" w:eastAsia="仿宋" w:cs="仿宋"/>
                <w:color w:val="000000"/>
                <w:kern w:val="0"/>
                <w:sz w:val="24"/>
                <w:szCs w:val="24"/>
              </w:rPr>
            </w:pPr>
            <w:r>
              <w:rPr>
                <w:rFonts w:hint="eastAsia" w:ascii="仿宋" w:hAnsi="仿宋" w:eastAsia="仿宋" w:cs="仿宋"/>
                <w:sz w:val="24"/>
                <w:szCs w:val="24"/>
              </w:rPr>
              <w:t xml:space="preserve">根据培训项目级别、水平和社会效应进行酌情评价。国家层面培训5分/每个，市级层面培训3分/每个，本单位层面培训1分/每个，最高15分。  </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技术</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培训方案</w:t>
            </w:r>
          </w:p>
        </w:tc>
        <w:tc>
          <w:tcPr>
            <w:tcW w:w="4326" w:type="dxa"/>
            <w:vAlign w:val="center"/>
          </w:tcPr>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项目方案科学合理性强、内容详细全面，可行性强,得</w:t>
            </w:r>
            <w:r>
              <w:rPr>
                <w:rFonts w:ascii="仿宋" w:hAnsi="仿宋" w:eastAsia="仿宋" w:cs="仿宋"/>
                <w:color w:val="000000"/>
                <w:kern w:val="0"/>
                <w:sz w:val="24"/>
                <w:szCs w:val="24"/>
              </w:rPr>
              <w:t>20-25</w:t>
            </w:r>
            <w:r>
              <w:rPr>
                <w:rFonts w:hint="eastAsia" w:ascii="仿宋" w:hAnsi="仿宋" w:eastAsia="仿宋" w:cs="仿宋"/>
                <w:color w:val="000000"/>
                <w:kern w:val="0"/>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项目方案科学合理性较强、内容较为详细全面，可行性较好,得</w:t>
            </w:r>
            <w:r>
              <w:rPr>
                <w:rFonts w:ascii="仿宋" w:hAnsi="仿宋" w:eastAsia="仿宋" w:cs="仿宋"/>
                <w:color w:val="000000"/>
                <w:kern w:val="0"/>
                <w:sz w:val="24"/>
                <w:szCs w:val="24"/>
              </w:rPr>
              <w:t>14-19</w:t>
            </w:r>
            <w:r>
              <w:rPr>
                <w:rFonts w:hint="eastAsia" w:ascii="仿宋" w:hAnsi="仿宋" w:eastAsia="仿宋" w:cs="仿宋"/>
                <w:color w:val="000000"/>
                <w:kern w:val="0"/>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项目方案科学合理、内容一般，有可行性,得</w:t>
            </w:r>
            <w:r>
              <w:rPr>
                <w:rFonts w:ascii="仿宋" w:hAnsi="仿宋" w:eastAsia="仿宋" w:cs="仿宋"/>
                <w:color w:val="000000"/>
                <w:kern w:val="0"/>
                <w:sz w:val="24"/>
                <w:szCs w:val="24"/>
              </w:rPr>
              <w:t>8-13</w:t>
            </w:r>
            <w:r>
              <w:rPr>
                <w:rFonts w:hint="eastAsia" w:ascii="仿宋" w:hAnsi="仿宋" w:eastAsia="仿宋" w:cs="仿宋"/>
                <w:color w:val="000000"/>
                <w:kern w:val="0"/>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项目方案科学合理较差、内容不充实，可行性差,得</w:t>
            </w:r>
            <w:r>
              <w:rPr>
                <w:rFonts w:ascii="仿宋" w:hAnsi="仿宋" w:eastAsia="仿宋" w:cs="仿宋"/>
                <w:color w:val="000000"/>
                <w:kern w:val="0"/>
                <w:sz w:val="24"/>
                <w:szCs w:val="24"/>
              </w:rPr>
              <w:t>0-7</w:t>
            </w:r>
            <w:r>
              <w:rPr>
                <w:rFonts w:hint="eastAsia" w:ascii="仿宋" w:hAnsi="仿宋" w:eastAsia="仿宋" w:cs="仿宋"/>
                <w:color w:val="000000"/>
                <w:kern w:val="0"/>
                <w:sz w:val="24"/>
                <w:szCs w:val="24"/>
              </w:rPr>
              <w:t>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1117" w:type="dxa"/>
            <w:vMerge w:val="continue"/>
            <w:vAlign w:val="center"/>
          </w:tcPr>
          <w:p>
            <w:pPr>
              <w:widowControl/>
              <w:jc w:val="center"/>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培训师资</w:t>
            </w:r>
          </w:p>
        </w:tc>
        <w:tc>
          <w:tcPr>
            <w:tcW w:w="4326" w:type="dxa"/>
            <w:vAlign w:val="center"/>
          </w:tcPr>
          <w:p>
            <w:pPr>
              <w:widowControl/>
              <w:numPr>
                <w:ilvl w:val="-1"/>
                <w:numId w:val="0"/>
              </w:numPr>
              <w:adjustRightInd/>
              <w:snapToGrid/>
              <w:spacing w:line="300" w:lineRule="exact"/>
              <w:ind w:left="0" w:leftChars="0"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授课师资中，</w:t>
            </w:r>
            <w:r>
              <w:rPr>
                <w:rFonts w:hint="eastAsia" w:ascii="仿宋" w:hAnsi="仿宋" w:eastAsia="仿宋" w:cs="仿宋"/>
                <w:color w:val="000000"/>
                <w:kern w:val="0"/>
                <w:sz w:val="24"/>
                <w:szCs w:val="24"/>
                <w:lang w:eastAsia="zh-CN"/>
              </w:rPr>
              <w:t>高、中级职称</w:t>
            </w:r>
            <w:r>
              <w:rPr>
                <w:rFonts w:hint="eastAsia" w:ascii="仿宋" w:hAnsi="仿宋" w:eastAsia="仿宋" w:cs="仿宋"/>
                <w:color w:val="000000"/>
                <w:kern w:val="0"/>
                <w:sz w:val="24"/>
                <w:szCs w:val="24"/>
              </w:rPr>
              <w:t>专家所占比例不低于70％，授课教师需熟悉</w:t>
            </w:r>
            <w:r>
              <w:rPr>
                <w:rFonts w:hint="eastAsia" w:ascii="仿宋" w:hAnsi="仿宋" w:eastAsia="仿宋" w:cs="仿宋"/>
                <w:color w:val="000000"/>
                <w:kern w:val="0"/>
                <w:sz w:val="24"/>
                <w:szCs w:val="24"/>
                <w:lang w:eastAsia="zh-CN"/>
              </w:rPr>
              <w:t>安宁疗护</w:t>
            </w:r>
            <w:r>
              <w:rPr>
                <w:rFonts w:hint="eastAsia" w:ascii="仿宋" w:hAnsi="仿宋" w:eastAsia="仿宋" w:cs="仿宋"/>
                <w:color w:val="000000"/>
                <w:kern w:val="0"/>
                <w:sz w:val="24"/>
                <w:szCs w:val="24"/>
              </w:rPr>
              <w:t>临床</w:t>
            </w:r>
            <w:r>
              <w:rPr>
                <w:rFonts w:hint="eastAsia" w:ascii="仿宋" w:hAnsi="仿宋" w:eastAsia="仿宋" w:cs="仿宋"/>
                <w:color w:val="000000"/>
                <w:kern w:val="0"/>
                <w:sz w:val="24"/>
                <w:szCs w:val="24"/>
                <w:lang w:eastAsia="zh-CN"/>
              </w:rPr>
              <w:t>医疗和</w:t>
            </w:r>
            <w:r>
              <w:rPr>
                <w:rFonts w:hint="eastAsia" w:ascii="仿宋" w:hAnsi="仿宋" w:eastAsia="仿宋" w:cs="仿宋"/>
                <w:color w:val="000000"/>
                <w:kern w:val="0"/>
                <w:sz w:val="24"/>
                <w:szCs w:val="24"/>
              </w:rPr>
              <w:t>护理相关内容或医疗项目运营等相关内容，具备较好的理论知识和技能，具备熟练的授课经验，且沟通能力及表达能力俱佳。</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师资符合要求且水平较高者计</w:t>
            </w:r>
            <w:r>
              <w:rPr>
                <w:rFonts w:ascii="仿宋" w:hAnsi="仿宋" w:eastAsia="仿宋" w:cs="仿宋"/>
                <w:color w:val="000000"/>
                <w:kern w:val="0"/>
                <w:sz w:val="24"/>
                <w:szCs w:val="24"/>
              </w:rPr>
              <w:t>7-10</w:t>
            </w:r>
            <w:r>
              <w:rPr>
                <w:rFonts w:hint="eastAsia" w:ascii="仿宋" w:hAnsi="仿宋" w:eastAsia="仿宋" w:cs="仿宋"/>
                <w:color w:val="000000"/>
                <w:kern w:val="0"/>
                <w:sz w:val="24"/>
                <w:szCs w:val="24"/>
              </w:rPr>
              <w:t>分；师资部分符合要求计</w:t>
            </w:r>
            <w:r>
              <w:rPr>
                <w:rFonts w:ascii="仿宋" w:hAnsi="仿宋" w:eastAsia="仿宋" w:cs="仿宋"/>
                <w:color w:val="000000"/>
                <w:kern w:val="0"/>
                <w:sz w:val="24"/>
                <w:szCs w:val="24"/>
              </w:rPr>
              <w:t>3-6</w:t>
            </w:r>
            <w:r>
              <w:rPr>
                <w:rFonts w:hint="eastAsia" w:ascii="仿宋" w:hAnsi="仿宋" w:eastAsia="仿宋" w:cs="仿宋"/>
                <w:color w:val="000000"/>
                <w:kern w:val="0"/>
                <w:sz w:val="24"/>
                <w:szCs w:val="24"/>
              </w:rPr>
              <w:t>分；师资不符合要求者计0</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组织管理</w:t>
            </w:r>
          </w:p>
        </w:tc>
        <w:tc>
          <w:tcPr>
            <w:tcW w:w="4326" w:type="dxa"/>
            <w:vAlign w:val="center"/>
          </w:tcPr>
          <w:p>
            <w:pPr>
              <w:widowControl/>
              <w:numPr>
                <w:ilvl w:val="0"/>
                <w:numId w:val="0"/>
              </w:numPr>
              <w:spacing w:line="300" w:lineRule="exact"/>
              <w:ind w:left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拟投入本项目的管理人员及组织分工情况评价：</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基本要求，项目组织管理团队核心成员不少于</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人,熟悉老年护理、教育教学培训相关工作，中级或高级职称，人事关系隶属本单位对应部门。</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（1）类似工作经验丰富，学历（专业）优于/符合要求，分工明确，组织合理，与项目实际契合度高，得7-10分；</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（2）类似工作经验较丰富，学历（专业）符合要求，分工较明确，组织较合理，与项目实际契合度较高，得4-6分；</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（3）类似工作经验一般，学历（专业）基本满足要求，分工一般，组织一般，与项目实际契合度一般，得1-3分；</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（4）类似工作经验较差，学历（专业）较差，分工不明确，组织不太合理，无法满足实际需要，得0分。</w:t>
            </w:r>
          </w:p>
          <w:p>
            <w:pPr>
              <w:widowControl/>
              <w:numPr>
                <w:ilvl w:val="0"/>
                <w:numId w:val="0"/>
              </w:numPr>
              <w:spacing w:line="300" w:lineRule="exact"/>
              <w:ind w:left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注：需提供项目团队人员简介、人事隶属关系及学历资质证明。</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经费管理</w:t>
            </w:r>
          </w:p>
        </w:tc>
        <w:tc>
          <w:tcPr>
            <w:tcW w:w="4326" w:type="dxa"/>
            <w:vAlign w:val="center"/>
          </w:tcPr>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提供资金使用安全性的说明文件（4分）和相关财务制度（3分），并安排财务部门专人负责本项目经费的管理（3分）。</w:t>
            </w:r>
          </w:p>
          <w:p>
            <w:pPr>
              <w:widowControl/>
              <w:numPr>
                <w:ilvl w:val="0"/>
                <w:numId w:val="0"/>
              </w:numPr>
              <w:spacing w:line="300" w:lineRule="exact"/>
              <w:ind w:left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有一项未阐述或不满足上述描述的扣每项对应分值，扣完为止。</w:t>
            </w:r>
            <w:bookmarkStart w:id="0" w:name="_GoBack"/>
            <w:bookmarkEnd w:id="0"/>
          </w:p>
        </w:tc>
        <w:tc>
          <w:tcPr>
            <w:tcW w:w="577" w:type="dxa"/>
            <w:vAlign w:val="center"/>
          </w:tcPr>
          <w:p>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服务承诺</w:t>
            </w:r>
          </w:p>
        </w:tc>
        <w:tc>
          <w:tcPr>
            <w:tcW w:w="4326" w:type="dxa"/>
            <w:vAlign w:val="center"/>
          </w:tcPr>
          <w:p>
            <w:pPr>
              <w:widowControl/>
              <w:numPr>
                <w:ilvl w:val="0"/>
                <w:numId w:val="0"/>
              </w:numPr>
              <w:spacing w:line="300" w:lineRule="exact"/>
              <w:ind w:leftChars="0"/>
              <w:jc w:val="left"/>
              <w:rPr>
                <w:rFonts w:hint="eastAsia" w:ascii="仿宋" w:hAnsi="仿宋" w:eastAsia="仿宋" w:cs="仿宋"/>
                <w:kern w:val="0"/>
                <w:sz w:val="24"/>
                <w:szCs w:val="24"/>
              </w:rPr>
            </w:pPr>
            <w:r>
              <w:rPr>
                <w:rFonts w:hint="eastAsia" w:ascii="仿宋" w:hAnsi="仿宋" w:eastAsia="仿宋" w:cs="仿宋"/>
                <w:kern w:val="0"/>
                <w:sz w:val="24"/>
                <w:szCs w:val="24"/>
              </w:rPr>
              <w:t>根据本项目组织举办期间及完成后需履行的各项要求，重点考察投标单位能否按照项目实施进度的时间要求，逐条做出具体承诺，以及完成承诺的各项措施和措施的合理性。</w:t>
            </w:r>
          </w:p>
          <w:p>
            <w:pPr>
              <w:widowControl/>
              <w:numPr>
                <w:ilvl w:val="0"/>
                <w:numId w:val="0"/>
              </w:numPr>
              <w:spacing w:line="300" w:lineRule="exact"/>
              <w:ind w:leftChars="0"/>
              <w:jc w:val="left"/>
              <w:rPr>
                <w:rFonts w:ascii="仿宋" w:hAnsi="仿宋" w:eastAsia="仿宋" w:cs="仿宋"/>
                <w:kern w:val="0"/>
                <w:sz w:val="24"/>
                <w:szCs w:val="24"/>
              </w:rPr>
            </w:pPr>
            <w:r>
              <w:rPr>
                <w:rFonts w:hint="eastAsia" w:ascii="仿宋" w:hAnsi="仿宋" w:eastAsia="仿宋" w:cs="仿宋"/>
                <w:kern w:val="0"/>
                <w:sz w:val="24"/>
                <w:szCs w:val="24"/>
              </w:rPr>
              <w:t>根据招标文件的需求和投标文件响应情况进行横向比较，分档评分：优</w:t>
            </w:r>
            <w:r>
              <w:rPr>
                <w:rFonts w:ascii="仿宋" w:hAnsi="仿宋" w:eastAsia="仿宋" w:cs="仿宋"/>
                <w:kern w:val="0"/>
                <w:sz w:val="24"/>
                <w:szCs w:val="24"/>
              </w:rPr>
              <w:t>8-10</w:t>
            </w:r>
            <w:r>
              <w:rPr>
                <w:rFonts w:hint="eastAsia" w:ascii="仿宋" w:hAnsi="仿宋" w:eastAsia="仿宋" w:cs="仿宋"/>
                <w:kern w:val="0"/>
                <w:sz w:val="24"/>
                <w:szCs w:val="24"/>
              </w:rPr>
              <w:t>分;良</w:t>
            </w:r>
            <w:r>
              <w:rPr>
                <w:rFonts w:ascii="仿宋" w:hAnsi="仿宋" w:eastAsia="仿宋" w:cs="仿宋"/>
                <w:kern w:val="0"/>
                <w:sz w:val="24"/>
                <w:szCs w:val="24"/>
              </w:rPr>
              <w:t>4-7</w:t>
            </w:r>
            <w:r>
              <w:rPr>
                <w:rFonts w:hint="eastAsia" w:ascii="仿宋" w:hAnsi="仿宋" w:eastAsia="仿宋" w:cs="仿宋"/>
                <w:kern w:val="0"/>
                <w:sz w:val="24"/>
                <w:szCs w:val="24"/>
              </w:rPr>
              <w:t>分；一般</w:t>
            </w:r>
            <w:r>
              <w:rPr>
                <w:rFonts w:ascii="仿宋" w:hAnsi="仿宋" w:eastAsia="仿宋" w:cs="仿宋"/>
                <w:kern w:val="0"/>
                <w:sz w:val="24"/>
                <w:szCs w:val="24"/>
              </w:rPr>
              <w:t>1-3</w:t>
            </w:r>
            <w:r>
              <w:rPr>
                <w:rFonts w:hint="eastAsia" w:ascii="仿宋" w:hAnsi="仿宋" w:eastAsia="仿宋" w:cs="仿宋"/>
                <w:kern w:val="0"/>
                <w:sz w:val="24"/>
                <w:szCs w:val="24"/>
              </w:rPr>
              <w:t xml:space="preserve">分；差不得分。 </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pPr>
              <w:widowControl/>
              <w:jc w:val="left"/>
              <w:rPr>
                <w:rFonts w:hint="eastAsia" w:ascii="仿宋" w:hAnsi="仿宋" w:eastAsia="仿宋" w:cs="仿宋"/>
                <w:kern w:val="0"/>
                <w:sz w:val="24"/>
                <w:szCs w:val="24"/>
                <w:lang w:val="en-US" w:eastAsia="zh-CN"/>
              </w:rPr>
            </w:pPr>
          </w:p>
        </w:tc>
        <w:tc>
          <w:tcPr>
            <w:tcW w:w="7172" w:type="dxa"/>
            <w:gridSpan w:val="3"/>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总分</w:t>
            </w:r>
          </w:p>
        </w:tc>
        <w:tc>
          <w:tcPr>
            <w:tcW w:w="577" w:type="dxa"/>
            <w:vAlign w:val="center"/>
          </w:tcPr>
          <w:p>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45B977E8"/>
    <w:rsid w:val="473506D4"/>
    <w:rsid w:val="4AF65EAE"/>
    <w:rsid w:val="532A7941"/>
    <w:rsid w:val="54ED50CA"/>
    <w:rsid w:val="65DC3BB9"/>
    <w:rsid w:val="68A51AEC"/>
    <w:rsid w:val="6FF2915A"/>
    <w:rsid w:val="711E3E45"/>
    <w:rsid w:val="71A07410"/>
    <w:rsid w:val="7834054B"/>
    <w:rsid w:val="7A2C349C"/>
    <w:rsid w:val="DFBA1A89"/>
    <w:rsid w:val="EF5E09A9"/>
    <w:rsid w:val="F277F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2</TotalTime>
  <ScaleCrop>false</ScaleCrop>
  <LinksUpToDate>false</LinksUpToDate>
  <CharactersWithSpaces>1902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2024-04-12T10:59:00Z</dcterms:created>
  <dc:creator>强文晓</dc:creator>
  <cp:lastModifiedBy>admin</cp:lastModifiedBy>
  <dcterms:modified xsi:type="dcterms:W3CDTF">2025-12-22T16:03:50Z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8E53B1A6991844FCBF02DD2E1ED5670C_13</vt:lpwstr>
  </property>
</Properties>
</file>