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FAE50">
      <w:pPr>
        <w:widowControl/>
        <w:spacing w:line="240" w:lineRule="auto"/>
        <w:jc w:val="both"/>
        <w:textAlignment w:val="baseline"/>
        <w:rPr>
          <w:rStyle w:val="45"/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/>
        </w:rPr>
      </w:pPr>
      <w:bookmarkStart w:id="0" w:name="_Toc198202504"/>
      <w:bookmarkStart w:id="1" w:name="_Toc135726161"/>
      <w:bookmarkStart w:id="2" w:name="_Toc135726034"/>
      <w:r>
        <w:rPr>
          <w:rStyle w:val="45"/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/>
        </w:rPr>
        <w:t>附件2</w:t>
      </w:r>
    </w:p>
    <w:p w14:paraId="43B2E81B">
      <w:pPr>
        <w:widowControl/>
        <w:spacing w:line="240" w:lineRule="auto"/>
        <w:jc w:val="center"/>
        <w:rPr>
          <w:rFonts w:hint="eastAsia" w:ascii="仿宋" w:hAnsi="仿宋" w:eastAsia="仿宋" w:cs="仿宋"/>
          <w:b w:val="0"/>
          <w:bCs w:val="0"/>
          <w:kern w:val="0"/>
          <w:sz w:val="44"/>
          <w:szCs w:val="4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44"/>
          <w:szCs w:val="44"/>
          <w:lang w:val="en-US" w:eastAsia="zh-CN" w:bidi="ar"/>
        </w:rPr>
        <w:t>2025年卫生健康行业</w:t>
      </w:r>
    </w:p>
    <w:p w14:paraId="00E6E759">
      <w:pPr>
        <w:widowControl/>
        <w:spacing w:line="240" w:lineRule="auto"/>
        <w:jc w:val="center"/>
        <w:rPr>
          <w:rFonts w:hint="eastAsia" w:ascii="宋体" w:hAnsi="宋体" w:eastAsia="宋体" w:cs="宋体"/>
          <w:bCs w:val="0"/>
          <w:color w:val="333333"/>
          <w:kern w:val="0"/>
          <w:sz w:val="44"/>
          <w:szCs w:val="4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44"/>
          <w:szCs w:val="44"/>
          <w:lang w:val="en-US" w:eastAsia="zh-CN" w:bidi="ar"/>
        </w:rPr>
        <w:t>重大网</w:t>
      </w:r>
      <w:bookmarkStart w:id="8" w:name="_GoBack"/>
      <w:bookmarkEnd w:id="8"/>
      <w:r>
        <w:rPr>
          <w:rFonts w:hint="eastAsia" w:ascii="仿宋" w:hAnsi="仿宋" w:eastAsia="仿宋" w:cs="仿宋"/>
          <w:b w:val="0"/>
          <w:bCs w:val="0"/>
          <w:kern w:val="0"/>
          <w:sz w:val="44"/>
          <w:szCs w:val="44"/>
          <w:lang w:val="en-US" w:eastAsia="zh-CN" w:bidi="ar"/>
        </w:rPr>
        <w:t>络安全事件应急演练项目采购需求</w:t>
      </w:r>
    </w:p>
    <w:p w14:paraId="6331D9D4">
      <w:pPr>
        <w:pStyle w:val="2"/>
        <w:numPr>
          <w:ilvl w:val="0"/>
          <w:numId w:val="0"/>
        </w:numPr>
        <w:spacing w:before="312" w:after="312"/>
        <w:jc w:val="both"/>
        <w:rPr>
          <w:rFonts w:hint="eastAsia" w:ascii="仿宋_GB2312" w:hAnsi="仿宋_GB2312" w:eastAsia="仿宋_GB2312" w:cs="仿宋_GB2312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color w:val="333333"/>
          <w:kern w:val="0"/>
          <w:sz w:val="32"/>
          <w:szCs w:val="32"/>
          <w:lang w:val="en-US" w:eastAsia="zh-CN" w:bidi="ar-SA"/>
        </w:rPr>
        <w:t>第一章 采购需求</w:t>
      </w:r>
      <w:bookmarkEnd w:id="0"/>
    </w:p>
    <w:bookmarkEnd w:id="1"/>
    <w:bookmarkEnd w:id="2"/>
    <w:p w14:paraId="0A7E92BB">
      <w:pPr>
        <w:ind w:firstLine="643" w:firstLineChars="200"/>
        <w:rPr>
          <w:rStyle w:val="21"/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</w:pPr>
      <w:r>
        <w:rPr>
          <w:rStyle w:val="21"/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（一）供应商职责</w:t>
      </w:r>
    </w:p>
    <w:p w14:paraId="34CFB4F3">
      <w:pPr>
        <w:ind w:firstLine="640" w:firstLineChars="2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负责制定攻防演练攻击规则、防守规则以及攻防演练各项准备工作；负责演练组织和场地管理，负责监控攻击队行为，负责评判攻击成果，负责整理攻击方每天工作情况并形成日报，负责对演练过程中出现的安全事件提供应急响应保障服务；负责汇总分析、总结汇报等演练过程相关服务工作。</w:t>
      </w:r>
    </w:p>
    <w:p w14:paraId="1F5D9DC7">
      <w:pPr>
        <w:ind w:firstLine="640" w:firstLineChars="2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 xml:space="preserve">负责组织不少于3支不同厂商的攻击队（包括供应商自己），每支攻击队人数不少于3人，并通过攻防演练平台、按照得分规则，由裁判对三支攻击队进行打分，最终排名； </w:t>
      </w:r>
    </w:p>
    <w:p w14:paraId="657AAA6A">
      <w:pPr>
        <w:ind w:firstLine="640" w:firstLineChars="2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攻击队的职责为准备阶段做好资产摸查、信息收集等准备工作；实施阶段按照与采购人的约定开展攻击工作；总结阶段开展攻击成果报告整理、汇总分析、风险点梳理、复盘和复测、总结汇报等工作。</w:t>
      </w:r>
    </w:p>
    <w:p w14:paraId="2DE89D85">
      <w:pPr>
        <w:ind w:firstLine="643" w:firstLineChars="200"/>
        <w:rPr>
          <w:rStyle w:val="21"/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</w:pPr>
      <w:r>
        <w:rPr>
          <w:rStyle w:val="21"/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（二）实施进度要求</w:t>
      </w:r>
    </w:p>
    <w:p w14:paraId="4FEFB834">
      <w:pPr>
        <w:ind w:firstLine="640" w:firstLineChars="2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演练分为准备、实施、总结三个阶段，供应商需按照采购方要求完成各阶段工作内容。其中实施阶段，即正式攻防实施时间为7个工作日。</w:t>
      </w:r>
      <w:bookmarkStart w:id="3" w:name="_Toc1422463757"/>
      <w:bookmarkStart w:id="4" w:name="_Toc316838175"/>
      <w:bookmarkStart w:id="5" w:name="_Toc935384044"/>
      <w:bookmarkStart w:id="6" w:name="_Toc1348804501"/>
    </w:p>
    <w:p w14:paraId="3A7A8845">
      <w:pPr>
        <w:ind w:firstLine="643" w:firstLineChars="200"/>
        <w:rPr>
          <w:rStyle w:val="21"/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</w:pPr>
      <w:r>
        <w:rPr>
          <w:rStyle w:val="21"/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（三）技术要求</w:t>
      </w:r>
      <w:bookmarkEnd w:id="3"/>
      <w:bookmarkEnd w:id="4"/>
      <w:bookmarkEnd w:id="5"/>
      <w:bookmarkEnd w:id="6"/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686"/>
        <w:gridCol w:w="5245"/>
        <w:gridCol w:w="844"/>
      </w:tblGrid>
      <w:tr w14:paraId="2024E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 w14:paraId="09CA8FB1">
            <w:pPr>
              <w:snapToGrid w:val="0"/>
              <w:rPr>
                <w:rFonts w:hint="eastAsia" w:ascii="仿宋" w:hAnsi="仿宋" w:eastAsia="仿宋"/>
                <w:b/>
                <w:szCs w:val="32"/>
              </w:rPr>
            </w:pPr>
            <w:r>
              <w:rPr>
                <w:rFonts w:hint="eastAsia" w:ascii="仿宋" w:hAnsi="仿宋" w:eastAsia="仿宋"/>
                <w:b/>
                <w:szCs w:val="32"/>
              </w:rPr>
              <w:t>序号</w:t>
            </w:r>
          </w:p>
        </w:tc>
        <w:tc>
          <w:tcPr>
            <w:tcW w:w="6931" w:type="dxa"/>
            <w:gridSpan w:val="2"/>
          </w:tcPr>
          <w:p w14:paraId="3AF73DDC">
            <w:pPr>
              <w:snapToGrid w:val="0"/>
              <w:rPr>
                <w:rFonts w:hint="eastAsia" w:ascii="仿宋" w:hAnsi="仿宋" w:eastAsia="仿宋"/>
                <w:b/>
                <w:szCs w:val="32"/>
              </w:rPr>
            </w:pPr>
            <w:r>
              <w:rPr>
                <w:rFonts w:hint="eastAsia" w:ascii="仿宋" w:hAnsi="仿宋" w:eastAsia="仿宋"/>
                <w:b/>
                <w:szCs w:val="32"/>
              </w:rPr>
              <w:t>详细服务要求</w:t>
            </w:r>
          </w:p>
        </w:tc>
        <w:tc>
          <w:tcPr>
            <w:tcW w:w="844" w:type="dxa"/>
          </w:tcPr>
          <w:p w14:paraId="3A0D027B">
            <w:pPr>
              <w:snapToGrid w:val="0"/>
              <w:rPr>
                <w:rFonts w:hint="eastAsia" w:ascii="仿宋" w:hAnsi="仿宋" w:eastAsia="仿宋"/>
                <w:b/>
                <w:szCs w:val="32"/>
              </w:rPr>
            </w:pPr>
            <w:r>
              <w:rPr>
                <w:rFonts w:hint="eastAsia" w:ascii="仿宋" w:hAnsi="仿宋" w:eastAsia="仿宋"/>
                <w:b/>
                <w:szCs w:val="32"/>
              </w:rPr>
              <w:t>备注</w:t>
            </w:r>
          </w:p>
        </w:tc>
      </w:tr>
      <w:tr w14:paraId="6E317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 w14:paraId="43F901B8">
            <w:pPr>
              <w:snapToGrid w:val="0"/>
              <w:rPr>
                <w:rFonts w:hint="eastAsia" w:ascii="仿宋" w:hAnsi="仿宋" w:eastAsia="仿宋"/>
                <w:b/>
                <w:szCs w:val="32"/>
              </w:rPr>
            </w:pPr>
            <w:r>
              <w:rPr>
                <w:rFonts w:hint="eastAsia" w:ascii="仿宋" w:hAnsi="仿宋" w:eastAsia="仿宋"/>
                <w:b/>
                <w:szCs w:val="32"/>
              </w:rPr>
              <w:t>1</w:t>
            </w:r>
          </w:p>
        </w:tc>
        <w:tc>
          <w:tcPr>
            <w:tcW w:w="1686" w:type="dxa"/>
          </w:tcPr>
          <w:p w14:paraId="42C3BE4B">
            <w:pPr>
              <w:rPr>
                <w:rFonts w:hint="eastAsia" w:ascii="仿宋" w:hAnsi="仿宋" w:eastAsia="仿宋"/>
                <w:b/>
                <w:szCs w:val="32"/>
              </w:rPr>
            </w:pPr>
            <w:r>
              <w:rPr>
                <w:rFonts w:hint="eastAsia" w:ascii="仿宋" w:hAnsi="仿宋" w:eastAsia="仿宋"/>
                <w:b/>
                <w:szCs w:val="32"/>
              </w:rPr>
              <w:t>制定攻防演练方案</w:t>
            </w:r>
          </w:p>
          <w:p w14:paraId="6A6823E7">
            <w:pPr>
              <w:snapToGrid w:val="0"/>
              <w:rPr>
                <w:rFonts w:hint="eastAsia" w:ascii="仿宋" w:hAnsi="仿宋" w:eastAsia="仿宋"/>
                <w:b/>
                <w:szCs w:val="32"/>
              </w:rPr>
            </w:pPr>
          </w:p>
        </w:tc>
        <w:tc>
          <w:tcPr>
            <w:tcW w:w="5245" w:type="dxa"/>
          </w:tcPr>
          <w:p w14:paraId="38363AE5">
            <w:pPr>
              <w:ind w:firstLine="480" w:firstLineChars="200"/>
              <w:rPr>
                <w:rFonts w:hint="eastAsia"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供应商需结合现状和需求，制定切实有效的攻防演练方案，方案应包括攻防演练的组织和安排、步骤和方式以及内容和要求等，应设计详细的演练实施流程以及完备的应急响应方案。</w:t>
            </w:r>
          </w:p>
        </w:tc>
        <w:tc>
          <w:tcPr>
            <w:tcW w:w="844" w:type="dxa"/>
          </w:tcPr>
          <w:p w14:paraId="137E4533">
            <w:pPr>
              <w:snapToGrid w:val="0"/>
              <w:rPr>
                <w:rFonts w:hint="eastAsia" w:ascii="仿宋" w:hAnsi="仿宋" w:eastAsia="仿宋"/>
                <w:b/>
                <w:szCs w:val="32"/>
              </w:rPr>
            </w:pPr>
          </w:p>
        </w:tc>
      </w:tr>
      <w:tr w14:paraId="169D3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 w14:paraId="7BF4763C">
            <w:pPr>
              <w:snapToGrid w:val="0"/>
              <w:rPr>
                <w:rFonts w:hint="eastAsia" w:ascii="仿宋" w:hAnsi="仿宋" w:eastAsia="仿宋"/>
                <w:b/>
                <w:szCs w:val="32"/>
              </w:rPr>
            </w:pPr>
            <w:r>
              <w:rPr>
                <w:rFonts w:hint="eastAsia" w:ascii="仿宋" w:hAnsi="仿宋" w:eastAsia="仿宋"/>
                <w:b/>
                <w:szCs w:val="32"/>
              </w:rPr>
              <w:t>2</w:t>
            </w:r>
          </w:p>
        </w:tc>
        <w:tc>
          <w:tcPr>
            <w:tcW w:w="1686" w:type="dxa"/>
          </w:tcPr>
          <w:p w14:paraId="6C68D301">
            <w:pPr>
              <w:rPr>
                <w:rFonts w:hint="eastAsia" w:ascii="仿宋" w:hAnsi="仿宋" w:eastAsia="仿宋"/>
                <w:b/>
                <w:szCs w:val="32"/>
              </w:rPr>
            </w:pPr>
            <w:r>
              <w:rPr>
                <w:rFonts w:hint="eastAsia" w:ascii="仿宋" w:hAnsi="仿宋" w:eastAsia="仿宋"/>
                <w:b/>
                <w:szCs w:val="32"/>
              </w:rPr>
              <w:t>完成攻防演练备案</w:t>
            </w:r>
          </w:p>
        </w:tc>
        <w:tc>
          <w:tcPr>
            <w:tcW w:w="5245" w:type="dxa"/>
          </w:tcPr>
          <w:p w14:paraId="0C73CD45">
            <w:pPr>
              <w:rPr>
                <w:rFonts w:hint="eastAsia"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供应商应根据公安部相关管理要求，在开展攻防演练前协助采购人向有关单位进行备案，确保攻防演练期间的攻击行为不被错误通报。</w:t>
            </w:r>
          </w:p>
        </w:tc>
        <w:tc>
          <w:tcPr>
            <w:tcW w:w="844" w:type="dxa"/>
          </w:tcPr>
          <w:p w14:paraId="519685F0">
            <w:pPr>
              <w:snapToGrid w:val="0"/>
              <w:rPr>
                <w:rFonts w:hint="eastAsia" w:ascii="仿宋" w:hAnsi="仿宋" w:eastAsia="仿宋"/>
                <w:b/>
                <w:szCs w:val="32"/>
              </w:rPr>
            </w:pPr>
          </w:p>
        </w:tc>
      </w:tr>
      <w:tr w14:paraId="68567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 w14:paraId="28A1B083">
            <w:pPr>
              <w:snapToGrid w:val="0"/>
              <w:rPr>
                <w:rFonts w:hint="eastAsia" w:ascii="仿宋" w:hAnsi="仿宋" w:eastAsia="仿宋"/>
                <w:b/>
                <w:szCs w:val="32"/>
              </w:rPr>
            </w:pPr>
            <w:r>
              <w:rPr>
                <w:rFonts w:hint="eastAsia" w:ascii="仿宋" w:hAnsi="仿宋" w:eastAsia="仿宋"/>
                <w:b/>
                <w:szCs w:val="32"/>
              </w:rPr>
              <w:t>3</w:t>
            </w:r>
          </w:p>
        </w:tc>
        <w:tc>
          <w:tcPr>
            <w:tcW w:w="1686" w:type="dxa"/>
          </w:tcPr>
          <w:p w14:paraId="5DFD6BCD">
            <w:pPr>
              <w:rPr>
                <w:rFonts w:hint="eastAsia" w:ascii="仿宋" w:hAnsi="仿宋" w:eastAsia="仿宋"/>
                <w:b/>
                <w:szCs w:val="32"/>
              </w:rPr>
            </w:pPr>
            <w:r>
              <w:rPr>
                <w:rFonts w:hint="eastAsia" w:ascii="仿宋" w:hAnsi="仿宋" w:eastAsia="仿宋"/>
                <w:b/>
                <w:szCs w:val="32"/>
              </w:rPr>
              <w:t>组建攻防演练团队</w:t>
            </w:r>
          </w:p>
        </w:tc>
        <w:tc>
          <w:tcPr>
            <w:tcW w:w="5245" w:type="dxa"/>
          </w:tcPr>
          <w:p w14:paraId="5E1D8BFC">
            <w:pPr>
              <w:ind w:firstLine="480" w:firstLineChars="200"/>
              <w:rPr>
                <w:rFonts w:hint="eastAsia"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bCs/>
                <w:szCs w:val="32"/>
              </w:rPr>
              <w:t>供应商</w:t>
            </w:r>
            <w:r>
              <w:rPr>
                <w:rFonts w:hint="eastAsia" w:ascii="仿宋" w:hAnsi="仿宋" w:eastAsia="仿宋"/>
                <w:szCs w:val="32"/>
              </w:rPr>
              <w:t>应依据</w:t>
            </w:r>
            <w:r>
              <w:rPr>
                <w:rFonts w:ascii="仿宋" w:hAnsi="仿宋" w:eastAsia="仿宋"/>
                <w:szCs w:val="32"/>
              </w:rPr>
              <w:t>采购人要求，</w:t>
            </w:r>
            <w:r>
              <w:rPr>
                <w:rFonts w:hint="eastAsia" w:ascii="仿宋" w:hAnsi="仿宋" w:eastAsia="仿宋"/>
                <w:szCs w:val="32"/>
              </w:rPr>
              <w:t>为采购人组织三支不同厂商的技术能力较强的攻击队,每支</w:t>
            </w:r>
            <w:r>
              <w:rPr>
                <w:rFonts w:ascii="仿宋" w:hAnsi="仿宋" w:eastAsia="仿宋"/>
                <w:szCs w:val="32"/>
              </w:rPr>
              <w:t>攻击队</w:t>
            </w:r>
            <w:r>
              <w:rPr>
                <w:rFonts w:hint="eastAsia" w:ascii="仿宋" w:hAnsi="仿宋" w:eastAsia="仿宋"/>
                <w:szCs w:val="32"/>
              </w:rPr>
              <w:t>配备</w:t>
            </w:r>
            <w:r>
              <w:rPr>
                <w:rFonts w:ascii="仿宋" w:hAnsi="仿宋" w:eastAsia="仿宋"/>
                <w:szCs w:val="32"/>
              </w:rPr>
              <w:t>不少于</w:t>
            </w:r>
            <w:r>
              <w:rPr>
                <w:rFonts w:hint="eastAsia" w:ascii="仿宋" w:hAnsi="仿宋" w:eastAsia="仿宋"/>
                <w:szCs w:val="32"/>
              </w:rPr>
              <w:t>3名攻击队员。</w:t>
            </w:r>
          </w:p>
          <w:p w14:paraId="2E902DB2">
            <w:pPr>
              <w:ind w:firstLine="480" w:firstLineChars="200"/>
              <w:rPr>
                <w:rFonts w:hint="eastAsia"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攻击队利用网络攻击的技术手段，在不影响目标业务系统可用性的前提下，对目标系统开展攻击演习。攻击队将按照网络边界打点突破，内网资产发现并深入挖掘漏洞，实现横向渗透，进而实现整个网络的夺权思路，达成攻击目的。</w:t>
            </w:r>
          </w:p>
        </w:tc>
        <w:tc>
          <w:tcPr>
            <w:tcW w:w="844" w:type="dxa"/>
          </w:tcPr>
          <w:p w14:paraId="6C35D5C3">
            <w:pPr>
              <w:snapToGrid w:val="0"/>
              <w:rPr>
                <w:rFonts w:hint="eastAsia" w:ascii="仿宋" w:hAnsi="仿宋" w:eastAsia="仿宋"/>
                <w:b/>
                <w:szCs w:val="32"/>
              </w:rPr>
            </w:pPr>
          </w:p>
        </w:tc>
      </w:tr>
      <w:tr w14:paraId="6C2A1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 w14:paraId="58A0805F">
            <w:pPr>
              <w:snapToGrid w:val="0"/>
              <w:rPr>
                <w:rFonts w:hint="eastAsia" w:ascii="仿宋" w:hAnsi="仿宋" w:eastAsia="仿宋"/>
                <w:b/>
                <w:szCs w:val="32"/>
              </w:rPr>
            </w:pPr>
            <w:r>
              <w:rPr>
                <w:rFonts w:hint="eastAsia" w:ascii="仿宋" w:hAnsi="仿宋" w:eastAsia="仿宋"/>
                <w:b/>
                <w:szCs w:val="32"/>
              </w:rPr>
              <w:t>4</w:t>
            </w:r>
          </w:p>
        </w:tc>
        <w:tc>
          <w:tcPr>
            <w:tcW w:w="1686" w:type="dxa"/>
          </w:tcPr>
          <w:p w14:paraId="2069A6C3">
            <w:pPr>
              <w:rPr>
                <w:rFonts w:hint="eastAsia" w:ascii="仿宋" w:hAnsi="仿宋" w:eastAsia="仿宋"/>
                <w:b/>
                <w:szCs w:val="32"/>
              </w:rPr>
            </w:pPr>
            <w:r>
              <w:rPr>
                <w:rFonts w:hint="eastAsia" w:ascii="仿宋" w:hAnsi="仿宋" w:eastAsia="仿宋"/>
                <w:b/>
                <w:szCs w:val="32"/>
              </w:rPr>
              <w:t>组建裁判团队</w:t>
            </w:r>
          </w:p>
        </w:tc>
        <w:tc>
          <w:tcPr>
            <w:tcW w:w="5245" w:type="dxa"/>
          </w:tcPr>
          <w:p w14:paraId="102F500C">
            <w:pPr>
              <w:ind w:firstLine="480" w:firstLineChars="200"/>
              <w:rPr>
                <w:rFonts w:hint="eastAsia"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裁判工作覆盖全流程，前期参与规则制定、环境监督及评分设计；演习中实时监控攻防行为，固定操作证据，判定违规行为，管控风险并协调各方；演习结束后完成评分排名，组织复盘分析，总结裁判工作。</w:t>
            </w:r>
          </w:p>
        </w:tc>
        <w:tc>
          <w:tcPr>
            <w:tcW w:w="844" w:type="dxa"/>
          </w:tcPr>
          <w:p w14:paraId="021EA199">
            <w:pPr>
              <w:snapToGrid w:val="0"/>
              <w:rPr>
                <w:rFonts w:hint="eastAsia" w:ascii="仿宋" w:hAnsi="仿宋" w:eastAsia="仿宋"/>
                <w:b/>
                <w:szCs w:val="32"/>
              </w:rPr>
            </w:pPr>
          </w:p>
        </w:tc>
      </w:tr>
      <w:tr w14:paraId="61E15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 w14:paraId="25DE81FD">
            <w:pPr>
              <w:snapToGrid w:val="0"/>
              <w:rPr>
                <w:rFonts w:hint="eastAsia" w:ascii="仿宋" w:hAnsi="仿宋" w:eastAsia="仿宋"/>
                <w:b/>
                <w:szCs w:val="32"/>
              </w:rPr>
            </w:pPr>
            <w:r>
              <w:rPr>
                <w:rFonts w:hint="eastAsia" w:ascii="仿宋" w:hAnsi="仿宋" w:eastAsia="仿宋"/>
                <w:b/>
                <w:szCs w:val="32"/>
              </w:rPr>
              <w:t>5</w:t>
            </w:r>
          </w:p>
        </w:tc>
        <w:tc>
          <w:tcPr>
            <w:tcW w:w="1686" w:type="dxa"/>
          </w:tcPr>
          <w:p w14:paraId="642D91E9">
            <w:pPr>
              <w:rPr>
                <w:rFonts w:hint="eastAsia" w:ascii="仿宋" w:hAnsi="仿宋" w:eastAsia="仿宋"/>
                <w:b/>
                <w:szCs w:val="32"/>
              </w:rPr>
            </w:pPr>
            <w:r>
              <w:rPr>
                <w:rFonts w:hint="eastAsia" w:ascii="仿宋" w:hAnsi="仿宋" w:eastAsia="仿宋"/>
                <w:b/>
                <w:szCs w:val="32"/>
              </w:rPr>
              <w:t>搭建攻防演练平台</w:t>
            </w:r>
          </w:p>
        </w:tc>
        <w:tc>
          <w:tcPr>
            <w:tcW w:w="5245" w:type="dxa"/>
          </w:tcPr>
          <w:p w14:paraId="43439107">
            <w:pPr>
              <w:rPr>
                <w:rFonts w:hint="eastAsia"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为了保障攻防演练的安全性，</w:t>
            </w:r>
            <w:r>
              <w:rPr>
                <w:rFonts w:hint="eastAsia" w:ascii="仿宋" w:hAnsi="仿宋" w:eastAsia="仿宋"/>
                <w:bCs/>
                <w:szCs w:val="32"/>
              </w:rPr>
              <w:t>供应商</w:t>
            </w:r>
            <w:r>
              <w:rPr>
                <w:rFonts w:hint="eastAsia" w:ascii="仿宋" w:hAnsi="仿宋" w:eastAsia="仿宋"/>
                <w:szCs w:val="32"/>
              </w:rPr>
              <w:t>需提供专业的、符合公安部门要求的攻防演练平台，实现对攻击队员的安全接入、攻击行为和流量记录以及攻击成果提交等安全保障措施。攻防演练平台应可以通过云端服务的方式实现。</w:t>
            </w:r>
          </w:p>
        </w:tc>
        <w:tc>
          <w:tcPr>
            <w:tcW w:w="844" w:type="dxa"/>
          </w:tcPr>
          <w:p w14:paraId="121F9D47">
            <w:pPr>
              <w:snapToGrid w:val="0"/>
              <w:rPr>
                <w:rFonts w:hint="eastAsia" w:ascii="仿宋" w:hAnsi="仿宋" w:eastAsia="仿宋"/>
                <w:b/>
                <w:szCs w:val="32"/>
              </w:rPr>
            </w:pPr>
          </w:p>
        </w:tc>
      </w:tr>
      <w:tr w14:paraId="2C17A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 w14:paraId="1CDB3864">
            <w:pPr>
              <w:snapToGrid w:val="0"/>
              <w:rPr>
                <w:rFonts w:hint="eastAsia" w:ascii="仿宋" w:hAnsi="仿宋" w:eastAsia="仿宋"/>
                <w:b/>
                <w:szCs w:val="32"/>
              </w:rPr>
            </w:pPr>
            <w:r>
              <w:rPr>
                <w:rFonts w:hint="eastAsia" w:ascii="仿宋" w:hAnsi="仿宋" w:eastAsia="仿宋"/>
                <w:b/>
                <w:szCs w:val="32"/>
              </w:rPr>
              <w:t>6</w:t>
            </w:r>
          </w:p>
        </w:tc>
        <w:tc>
          <w:tcPr>
            <w:tcW w:w="1686" w:type="dxa"/>
          </w:tcPr>
          <w:p w14:paraId="210F0748">
            <w:pPr>
              <w:rPr>
                <w:rFonts w:hint="eastAsia" w:ascii="仿宋" w:hAnsi="仿宋" w:eastAsia="仿宋"/>
                <w:b/>
                <w:szCs w:val="32"/>
              </w:rPr>
            </w:pPr>
            <w:r>
              <w:rPr>
                <w:rFonts w:hint="eastAsia" w:ascii="仿宋" w:hAnsi="仿宋" w:eastAsia="仿宋"/>
                <w:b/>
                <w:szCs w:val="32"/>
              </w:rPr>
              <w:t>配备演练攻击资源</w:t>
            </w:r>
          </w:p>
          <w:p w14:paraId="58971C69">
            <w:pPr>
              <w:rPr>
                <w:rFonts w:hint="eastAsia" w:ascii="仿宋" w:hAnsi="仿宋" w:eastAsia="仿宋"/>
                <w:b/>
                <w:szCs w:val="32"/>
              </w:rPr>
            </w:pPr>
          </w:p>
        </w:tc>
        <w:tc>
          <w:tcPr>
            <w:tcW w:w="5245" w:type="dxa"/>
          </w:tcPr>
          <w:p w14:paraId="3829DE62">
            <w:pPr>
              <w:ind w:firstLine="480" w:firstLineChars="200"/>
              <w:rPr>
                <w:rFonts w:hint="eastAsia"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攻击资源由</w:t>
            </w:r>
            <w:r>
              <w:rPr>
                <w:rFonts w:hint="eastAsia" w:ascii="仿宋" w:hAnsi="仿宋" w:eastAsia="仿宋"/>
                <w:bCs/>
                <w:szCs w:val="32"/>
              </w:rPr>
              <w:t>供应商</w:t>
            </w:r>
            <w:r>
              <w:rPr>
                <w:rFonts w:hint="eastAsia" w:ascii="仿宋" w:hAnsi="仿宋" w:eastAsia="仿宋"/>
                <w:szCs w:val="32"/>
              </w:rPr>
              <w:t>提供方统一提供。攻防过程中，按照“全程审计、全程监控、全程录屏、全程录像”要求，落实安全保护措施。</w:t>
            </w:r>
            <w:r>
              <w:rPr>
                <w:rFonts w:hint="eastAsia" w:ascii="仿宋" w:hAnsi="仿宋" w:eastAsia="仿宋"/>
                <w:bCs/>
                <w:szCs w:val="32"/>
              </w:rPr>
              <w:t>供应商</w:t>
            </w:r>
            <w:r>
              <w:rPr>
                <w:rFonts w:hint="eastAsia" w:ascii="仿宋" w:hAnsi="仿宋" w:eastAsia="仿宋"/>
                <w:szCs w:val="32"/>
              </w:rPr>
              <w:t>组织所有参与项目人员需按照安全要求，签署安全保密承诺书。</w:t>
            </w:r>
          </w:p>
        </w:tc>
        <w:tc>
          <w:tcPr>
            <w:tcW w:w="844" w:type="dxa"/>
          </w:tcPr>
          <w:p w14:paraId="39452134">
            <w:pPr>
              <w:snapToGrid w:val="0"/>
              <w:rPr>
                <w:rFonts w:hint="eastAsia" w:ascii="仿宋" w:hAnsi="仿宋" w:eastAsia="仿宋"/>
                <w:b/>
                <w:szCs w:val="32"/>
              </w:rPr>
            </w:pPr>
          </w:p>
        </w:tc>
      </w:tr>
      <w:tr w14:paraId="764D0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 w14:paraId="7065032C">
            <w:pPr>
              <w:snapToGrid w:val="0"/>
              <w:rPr>
                <w:rFonts w:hint="eastAsia" w:ascii="仿宋" w:hAnsi="仿宋" w:eastAsia="仿宋"/>
                <w:b/>
                <w:szCs w:val="32"/>
              </w:rPr>
            </w:pPr>
            <w:r>
              <w:rPr>
                <w:rFonts w:hint="eastAsia" w:ascii="仿宋" w:hAnsi="仿宋" w:eastAsia="仿宋"/>
                <w:b/>
                <w:szCs w:val="32"/>
              </w:rPr>
              <w:t>7</w:t>
            </w:r>
          </w:p>
        </w:tc>
        <w:tc>
          <w:tcPr>
            <w:tcW w:w="1686" w:type="dxa"/>
          </w:tcPr>
          <w:p w14:paraId="6E37B51B">
            <w:pPr>
              <w:rPr>
                <w:rFonts w:hint="eastAsia" w:ascii="仿宋" w:hAnsi="仿宋" w:eastAsia="仿宋"/>
                <w:b/>
                <w:szCs w:val="32"/>
              </w:rPr>
            </w:pPr>
            <w:r>
              <w:rPr>
                <w:rFonts w:hint="eastAsia" w:ascii="仿宋" w:hAnsi="仿宋" w:eastAsia="仿宋"/>
                <w:b/>
                <w:szCs w:val="32"/>
              </w:rPr>
              <w:t>攻防演练环境要求</w:t>
            </w:r>
          </w:p>
          <w:p w14:paraId="6A2BAC0A">
            <w:pPr>
              <w:rPr>
                <w:rFonts w:hint="eastAsia" w:ascii="仿宋" w:hAnsi="仿宋" w:eastAsia="仿宋"/>
                <w:b/>
                <w:szCs w:val="32"/>
              </w:rPr>
            </w:pPr>
          </w:p>
        </w:tc>
        <w:tc>
          <w:tcPr>
            <w:tcW w:w="5245" w:type="dxa"/>
          </w:tcPr>
          <w:p w14:paraId="2873F6BE">
            <w:pPr>
              <w:ind w:firstLine="480" w:firstLineChars="200"/>
              <w:rPr>
                <w:rFonts w:hint="eastAsia"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本次攻防演练使用攻防演练平台，平台由供应商提供，参演人员需自备高性能笔记本电脑作为攻击终端，</w:t>
            </w:r>
            <w:r>
              <w:rPr>
                <w:rFonts w:hint="eastAsia" w:ascii="仿宋" w:hAnsi="仿宋" w:eastAsia="仿宋"/>
                <w:b/>
                <w:szCs w:val="32"/>
              </w:rPr>
              <w:t>为每支攻击队伍提供足够的互联网攻击IP地址资源</w:t>
            </w:r>
            <w:r>
              <w:rPr>
                <w:rFonts w:hint="eastAsia" w:ascii="仿宋" w:hAnsi="仿宋" w:eastAsia="仿宋"/>
                <w:szCs w:val="32"/>
              </w:rPr>
              <w:t>。</w:t>
            </w:r>
          </w:p>
          <w:p w14:paraId="03CD9B36">
            <w:pPr>
              <w:ind w:firstLine="480" w:firstLineChars="200"/>
              <w:rPr>
                <w:rFonts w:hint="eastAsia" w:ascii="仿宋" w:hAnsi="仿宋" w:eastAsia="仿宋"/>
                <w:szCs w:val="32"/>
              </w:rPr>
            </w:pPr>
          </w:p>
        </w:tc>
        <w:tc>
          <w:tcPr>
            <w:tcW w:w="844" w:type="dxa"/>
          </w:tcPr>
          <w:p w14:paraId="01C82556">
            <w:pPr>
              <w:snapToGrid w:val="0"/>
              <w:rPr>
                <w:rFonts w:hint="eastAsia" w:ascii="仿宋" w:hAnsi="仿宋" w:eastAsia="仿宋"/>
                <w:b/>
                <w:szCs w:val="32"/>
              </w:rPr>
            </w:pPr>
          </w:p>
        </w:tc>
      </w:tr>
      <w:tr w14:paraId="2EB5D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 w14:paraId="045ECD53">
            <w:pPr>
              <w:snapToGrid w:val="0"/>
              <w:rPr>
                <w:rFonts w:hint="eastAsia" w:ascii="仿宋" w:hAnsi="仿宋" w:eastAsia="仿宋"/>
                <w:b/>
                <w:szCs w:val="32"/>
              </w:rPr>
            </w:pPr>
            <w:r>
              <w:rPr>
                <w:rFonts w:hint="eastAsia" w:ascii="仿宋" w:hAnsi="仿宋" w:eastAsia="仿宋"/>
                <w:b/>
                <w:szCs w:val="32"/>
              </w:rPr>
              <w:t>8</w:t>
            </w:r>
          </w:p>
        </w:tc>
        <w:tc>
          <w:tcPr>
            <w:tcW w:w="1686" w:type="dxa"/>
          </w:tcPr>
          <w:p w14:paraId="43F7937D">
            <w:pPr>
              <w:rPr>
                <w:rFonts w:hint="eastAsia" w:ascii="仿宋" w:hAnsi="仿宋" w:eastAsia="仿宋"/>
                <w:b/>
                <w:szCs w:val="32"/>
              </w:rPr>
            </w:pPr>
            <w:r>
              <w:rPr>
                <w:rFonts w:hint="eastAsia" w:ascii="仿宋" w:hAnsi="仿宋" w:eastAsia="仿宋"/>
                <w:b/>
                <w:szCs w:val="32"/>
              </w:rPr>
              <w:t>攻防演练技术要求</w:t>
            </w:r>
          </w:p>
        </w:tc>
        <w:tc>
          <w:tcPr>
            <w:tcW w:w="5245" w:type="dxa"/>
          </w:tcPr>
          <w:p w14:paraId="0BE1EDF1">
            <w:pPr>
              <w:ind w:firstLine="480" w:firstLineChars="200"/>
              <w:rPr>
                <w:rFonts w:hint="eastAsia"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攻击队首先利用高性能笔记本电脑接入演练网络，利用平台分配的网络资源，对目标系统开展网络攻击。演练开始后，攻方人员在不影响网络和信息系统的前提下，避免使用具有破坏性或易造成业务连续性损害的攻击手段，对目标系统开展网络攻击，记录攻击过程和成果证据，将获取的权限和成果截图保存，通过平台进行提交。</w:t>
            </w:r>
          </w:p>
        </w:tc>
        <w:tc>
          <w:tcPr>
            <w:tcW w:w="844" w:type="dxa"/>
          </w:tcPr>
          <w:p w14:paraId="7571ED9F">
            <w:pPr>
              <w:snapToGrid w:val="0"/>
              <w:rPr>
                <w:rFonts w:hint="eastAsia" w:ascii="仿宋" w:hAnsi="仿宋" w:eastAsia="仿宋"/>
                <w:b/>
                <w:szCs w:val="32"/>
              </w:rPr>
            </w:pPr>
          </w:p>
        </w:tc>
      </w:tr>
      <w:tr w14:paraId="7CE42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 w14:paraId="11795246">
            <w:pPr>
              <w:snapToGrid w:val="0"/>
              <w:rPr>
                <w:rFonts w:hint="eastAsia" w:ascii="仿宋" w:hAnsi="仿宋" w:eastAsia="仿宋"/>
                <w:b/>
                <w:szCs w:val="32"/>
              </w:rPr>
            </w:pPr>
            <w:r>
              <w:rPr>
                <w:rFonts w:hint="eastAsia" w:ascii="仿宋" w:hAnsi="仿宋" w:eastAsia="仿宋"/>
                <w:b/>
                <w:szCs w:val="32"/>
              </w:rPr>
              <w:t>9</w:t>
            </w:r>
          </w:p>
        </w:tc>
        <w:tc>
          <w:tcPr>
            <w:tcW w:w="1686" w:type="dxa"/>
          </w:tcPr>
          <w:p w14:paraId="76560F35">
            <w:pPr>
              <w:rPr>
                <w:rFonts w:hint="eastAsia" w:ascii="仿宋" w:hAnsi="仿宋" w:eastAsia="仿宋"/>
                <w:b/>
                <w:szCs w:val="32"/>
              </w:rPr>
            </w:pPr>
            <w:r>
              <w:rPr>
                <w:rFonts w:hint="eastAsia" w:ascii="仿宋" w:hAnsi="仿宋" w:eastAsia="仿宋"/>
                <w:b/>
                <w:szCs w:val="32"/>
              </w:rPr>
              <w:t>攻击痕迹清理要求</w:t>
            </w:r>
          </w:p>
        </w:tc>
        <w:tc>
          <w:tcPr>
            <w:tcW w:w="5245" w:type="dxa"/>
          </w:tcPr>
          <w:p w14:paraId="5E9264E7">
            <w:pPr>
              <w:ind w:firstLine="480" w:firstLineChars="200"/>
              <w:rPr>
                <w:rFonts w:hint="eastAsia"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在攻防演练结束后，所有攻击队须严格按照“网络战场清零”原则，于2</w:t>
            </w:r>
            <w:r>
              <w:rPr>
                <w:rFonts w:ascii="仿宋" w:hAnsi="仿宋" w:eastAsia="仿宋"/>
                <w:szCs w:val="32"/>
              </w:rPr>
              <w:t>4小时内彻底清除</w:t>
            </w:r>
            <w:r>
              <w:rPr>
                <w:rFonts w:hint="eastAsia" w:ascii="仿宋" w:hAnsi="仿宋" w:eastAsia="仿宋"/>
                <w:szCs w:val="32"/>
              </w:rPr>
              <w:t>演练</w:t>
            </w:r>
            <w:r>
              <w:rPr>
                <w:rFonts w:ascii="仿宋" w:hAnsi="仿宋" w:eastAsia="仿宋"/>
                <w:szCs w:val="32"/>
              </w:rPr>
              <w:t>中利用的漏洞（包括漏洞修复、测试数据覆写销毁）及所有攻击痕迹（涵盖Webshell、内存马、隧道日志，以及后门账户、注册表项、计划任务等持久化驻留痕迹）；未达标者将依《网络安全法》追责，视情节取消成绩、扣除</w:t>
            </w:r>
            <w:r>
              <w:rPr>
                <w:rFonts w:hint="eastAsia" w:ascii="仿宋" w:hAnsi="仿宋" w:eastAsia="仿宋"/>
                <w:szCs w:val="32"/>
              </w:rPr>
              <w:t>合同金额1</w:t>
            </w:r>
            <w:r>
              <w:rPr>
                <w:rFonts w:ascii="仿宋" w:hAnsi="仿宋" w:eastAsia="仿宋"/>
                <w:szCs w:val="32"/>
              </w:rPr>
              <w:t>0%</w:t>
            </w:r>
            <w:r>
              <w:rPr>
                <w:rFonts w:hint="eastAsia" w:ascii="仿宋" w:hAnsi="仿宋" w:eastAsia="仿宋"/>
                <w:szCs w:val="32"/>
              </w:rPr>
              <w:t>费用，情节严重将</w:t>
            </w:r>
            <w:r>
              <w:rPr>
                <w:rFonts w:ascii="仿宋" w:hAnsi="仿宋" w:eastAsia="仿宋"/>
                <w:szCs w:val="32"/>
              </w:rPr>
              <w:t>移交司法</w:t>
            </w:r>
            <w:r>
              <w:rPr>
                <w:rFonts w:hint="eastAsia" w:ascii="仿宋" w:hAnsi="仿宋" w:eastAsia="仿宋"/>
                <w:szCs w:val="32"/>
              </w:rPr>
              <w:t>机关处理。</w:t>
            </w:r>
          </w:p>
        </w:tc>
        <w:tc>
          <w:tcPr>
            <w:tcW w:w="844" w:type="dxa"/>
          </w:tcPr>
          <w:p w14:paraId="3135ED7A">
            <w:pPr>
              <w:snapToGrid w:val="0"/>
              <w:rPr>
                <w:rFonts w:hint="eastAsia" w:ascii="仿宋" w:hAnsi="仿宋" w:eastAsia="仿宋"/>
                <w:b/>
                <w:szCs w:val="32"/>
              </w:rPr>
            </w:pPr>
          </w:p>
        </w:tc>
      </w:tr>
      <w:tr w14:paraId="0131A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 w14:paraId="5803E4FE">
            <w:pPr>
              <w:snapToGrid w:val="0"/>
              <w:rPr>
                <w:rFonts w:hint="eastAsia" w:ascii="仿宋" w:hAnsi="仿宋" w:eastAsia="仿宋"/>
                <w:b/>
                <w:szCs w:val="32"/>
              </w:rPr>
            </w:pPr>
            <w:r>
              <w:rPr>
                <w:rFonts w:hint="eastAsia" w:ascii="仿宋" w:hAnsi="仿宋" w:eastAsia="仿宋"/>
                <w:b/>
                <w:szCs w:val="32"/>
              </w:rPr>
              <w:t>10</w:t>
            </w:r>
          </w:p>
        </w:tc>
        <w:tc>
          <w:tcPr>
            <w:tcW w:w="1686" w:type="dxa"/>
          </w:tcPr>
          <w:p w14:paraId="2874C1B6">
            <w:pPr>
              <w:rPr>
                <w:rFonts w:hint="eastAsia" w:ascii="仿宋" w:hAnsi="仿宋" w:eastAsia="仿宋"/>
                <w:b/>
                <w:szCs w:val="32"/>
              </w:rPr>
            </w:pPr>
            <w:r>
              <w:rPr>
                <w:rFonts w:hint="eastAsia" w:ascii="仿宋" w:hAnsi="仿宋" w:eastAsia="仿宋"/>
                <w:b/>
                <w:szCs w:val="32"/>
              </w:rPr>
              <w:t>风险规避要求</w:t>
            </w:r>
          </w:p>
        </w:tc>
        <w:tc>
          <w:tcPr>
            <w:tcW w:w="5245" w:type="dxa"/>
          </w:tcPr>
          <w:p w14:paraId="22382A00">
            <w:pPr>
              <w:ind w:firstLine="480" w:firstLineChars="200"/>
              <w:rPr>
                <w:rFonts w:hint="eastAsia"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应全面对攻防演练可能遇到的安全风险进行评估，包括人员风险、系统风险、业务连续性风险、法律风险等，并提出风险规避建议。</w:t>
            </w:r>
          </w:p>
        </w:tc>
        <w:tc>
          <w:tcPr>
            <w:tcW w:w="844" w:type="dxa"/>
          </w:tcPr>
          <w:p w14:paraId="5FB01565">
            <w:pPr>
              <w:snapToGrid w:val="0"/>
              <w:rPr>
                <w:rFonts w:hint="eastAsia" w:ascii="仿宋" w:hAnsi="仿宋" w:eastAsia="仿宋"/>
                <w:b/>
                <w:szCs w:val="32"/>
              </w:rPr>
            </w:pPr>
          </w:p>
        </w:tc>
      </w:tr>
      <w:tr w14:paraId="74742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 w14:paraId="68699115">
            <w:pPr>
              <w:snapToGrid w:val="0"/>
              <w:rPr>
                <w:rFonts w:hint="eastAsia" w:ascii="仿宋" w:hAnsi="仿宋" w:eastAsia="仿宋"/>
                <w:b/>
                <w:szCs w:val="32"/>
              </w:rPr>
            </w:pPr>
            <w:r>
              <w:rPr>
                <w:rFonts w:hint="eastAsia" w:ascii="仿宋" w:hAnsi="仿宋" w:eastAsia="仿宋"/>
                <w:b/>
                <w:szCs w:val="32"/>
              </w:rPr>
              <w:t>11</w:t>
            </w:r>
          </w:p>
        </w:tc>
        <w:tc>
          <w:tcPr>
            <w:tcW w:w="1686" w:type="dxa"/>
          </w:tcPr>
          <w:p w14:paraId="34EFCD5D">
            <w:pPr>
              <w:rPr>
                <w:rFonts w:hint="eastAsia" w:ascii="仿宋" w:hAnsi="仿宋" w:eastAsia="仿宋"/>
                <w:b/>
                <w:szCs w:val="32"/>
              </w:rPr>
            </w:pPr>
            <w:r>
              <w:rPr>
                <w:rFonts w:hint="eastAsia" w:ascii="仿宋" w:hAnsi="仿宋" w:eastAsia="仿宋"/>
                <w:b/>
                <w:szCs w:val="32"/>
              </w:rPr>
              <w:t>安全要求</w:t>
            </w:r>
          </w:p>
        </w:tc>
        <w:tc>
          <w:tcPr>
            <w:tcW w:w="5245" w:type="dxa"/>
          </w:tcPr>
          <w:p w14:paraId="6EA63BF4">
            <w:pPr>
              <w:snapToGrid w:val="0"/>
              <w:ind w:firstLine="480" w:firstLineChars="200"/>
              <w:rPr>
                <w:rFonts w:hint="eastAsia"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供应商应采取适当措施，避免因使用不当的工具，而将病毒和木马引入采购人网络或系统。如在攻防演练过程中被测试系统发生异常，供应商应立即停止攻击，并配合采购人分析情况，确定原因恢复系统运行。同时采取必要的预防措施，调整测试策略，经采购人同意后方可继续进行测试。</w:t>
            </w:r>
          </w:p>
        </w:tc>
        <w:tc>
          <w:tcPr>
            <w:tcW w:w="844" w:type="dxa"/>
          </w:tcPr>
          <w:p w14:paraId="7A56F14E">
            <w:pPr>
              <w:snapToGrid w:val="0"/>
              <w:rPr>
                <w:rFonts w:hint="eastAsia" w:ascii="仿宋" w:hAnsi="仿宋" w:eastAsia="仿宋"/>
                <w:b/>
                <w:szCs w:val="32"/>
              </w:rPr>
            </w:pPr>
          </w:p>
        </w:tc>
      </w:tr>
      <w:tr w14:paraId="2841A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 w14:paraId="27D486A0">
            <w:pPr>
              <w:snapToGrid w:val="0"/>
              <w:rPr>
                <w:rFonts w:hint="eastAsia" w:ascii="仿宋" w:hAnsi="仿宋" w:eastAsia="仿宋"/>
                <w:b/>
                <w:szCs w:val="32"/>
              </w:rPr>
            </w:pPr>
            <w:r>
              <w:rPr>
                <w:rFonts w:hint="eastAsia" w:ascii="仿宋" w:hAnsi="仿宋" w:eastAsia="仿宋"/>
                <w:b/>
                <w:szCs w:val="32"/>
              </w:rPr>
              <w:t>12</w:t>
            </w:r>
          </w:p>
        </w:tc>
        <w:tc>
          <w:tcPr>
            <w:tcW w:w="1686" w:type="dxa"/>
          </w:tcPr>
          <w:p w14:paraId="1F3D7D52">
            <w:pPr>
              <w:rPr>
                <w:rFonts w:hint="eastAsia" w:ascii="仿宋" w:hAnsi="仿宋" w:eastAsia="仿宋"/>
                <w:b/>
                <w:szCs w:val="32"/>
              </w:rPr>
            </w:pPr>
            <w:r>
              <w:rPr>
                <w:rFonts w:hint="eastAsia" w:ascii="仿宋" w:hAnsi="仿宋" w:eastAsia="仿宋"/>
                <w:b/>
                <w:szCs w:val="32"/>
              </w:rPr>
              <w:t>人员要求</w:t>
            </w:r>
          </w:p>
        </w:tc>
        <w:tc>
          <w:tcPr>
            <w:tcW w:w="5245" w:type="dxa"/>
          </w:tcPr>
          <w:p w14:paraId="14FD7A6C">
            <w:pPr>
              <w:snapToGrid w:val="0"/>
              <w:ind w:firstLine="480" w:firstLineChars="200"/>
              <w:rPr>
                <w:rFonts w:hint="eastAsia"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1、提供社保或劳动合同证明，具备注册渗透测试专家（CISP-PTS）证书；</w:t>
            </w:r>
          </w:p>
          <w:p w14:paraId="5B4E4D96">
            <w:pPr>
              <w:snapToGrid w:val="0"/>
              <w:ind w:firstLine="480" w:firstLineChars="200"/>
              <w:rPr>
                <w:rFonts w:hint="eastAsia"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2、项目经理：承担本项目的项目经理应具备5年（含）以上网络安全相关工作经验。项目经理同时具备信息系统项目管理师（高级）证书、项目管理师（PMP）证书、数据库系统工程师（中级）证书、与信息安全保障人员（CISAW）证书。</w:t>
            </w:r>
          </w:p>
        </w:tc>
        <w:tc>
          <w:tcPr>
            <w:tcW w:w="844" w:type="dxa"/>
          </w:tcPr>
          <w:p w14:paraId="660350DA">
            <w:pPr>
              <w:snapToGrid w:val="0"/>
              <w:rPr>
                <w:rFonts w:hint="eastAsia" w:ascii="仿宋" w:hAnsi="仿宋" w:eastAsia="仿宋"/>
                <w:b/>
                <w:szCs w:val="32"/>
              </w:rPr>
            </w:pPr>
          </w:p>
        </w:tc>
      </w:tr>
      <w:tr w14:paraId="41395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 w14:paraId="78DC7678">
            <w:pPr>
              <w:snapToGrid w:val="0"/>
              <w:rPr>
                <w:rFonts w:hint="eastAsia" w:ascii="仿宋" w:hAnsi="仿宋" w:eastAsia="仿宋"/>
                <w:b/>
                <w:szCs w:val="32"/>
              </w:rPr>
            </w:pPr>
            <w:r>
              <w:rPr>
                <w:rFonts w:hint="eastAsia" w:ascii="仿宋" w:hAnsi="仿宋" w:eastAsia="仿宋"/>
                <w:b/>
                <w:szCs w:val="32"/>
              </w:rPr>
              <w:t>13</w:t>
            </w:r>
          </w:p>
        </w:tc>
        <w:tc>
          <w:tcPr>
            <w:tcW w:w="1686" w:type="dxa"/>
          </w:tcPr>
          <w:p w14:paraId="3CB9DFCA">
            <w:pPr>
              <w:rPr>
                <w:rFonts w:hint="eastAsia" w:ascii="仿宋" w:hAnsi="仿宋" w:eastAsia="仿宋"/>
                <w:b/>
                <w:szCs w:val="32"/>
              </w:rPr>
            </w:pPr>
            <w:r>
              <w:rPr>
                <w:rFonts w:hint="eastAsia" w:ascii="仿宋" w:hAnsi="仿宋" w:eastAsia="仿宋"/>
                <w:b/>
                <w:szCs w:val="32"/>
              </w:rPr>
              <w:t>总结阶段技术要求</w:t>
            </w:r>
          </w:p>
        </w:tc>
        <w:tc>
          <w:tcPr>
            <w:tcW w:w="5245" w:type="dxa"/>
          </w:tcPr>
          <w:p w14:paraId="41CB2E83">
            <w:pPr>
              <w:ind w:firstLine="480" w:firstLineChars="200"/>
              <w:rPr>
                <w:rFonts w:hint="eastAsia"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供应商协调组织项目组、攻击队一起对本次攻防演练进行全方位的总结，提出不限于网络安全建设、应急处置、安全管理机制等方面的建议，协助修复相关问题，并进行复测，确保问题隐患整改完毕。</w:t>
            </w:r>
          </w:p>
        </w:tc>
        <w:tc>
          <w:tcPr>
            <w:tcW w:w="844" w:type="dxa"/>
          </w:tcPr>
          <w:p w14:paraId="2AC4212C">
            <w:pPr>
              <w:snapToGrid w:val="0"/>
              <w:rPr>
                <w:rFonts w:hint="eastAsia" w:ascii="仿宋" w:hAnsi="仿宋" w:eastAsia="仿宋"/>
                <w:b/>
                <w:szCs w:val="32"/>
              </w:rPr>
            </w:pPr>
          </w:p>
        </w:tc>
      </w:tr>
    </w:tbl>
    <w:p w14:paraId="4FBFCFF7">
      <w:pPr>
        <w:snapToGrid w:val="0"/>
        <w:ind w:firstLine="482" w:firstLineChars="200"/>
        <w:rPr>
          <w:rFonts w:hint="eastAsia" w:ascii="仿宋" w:hAnsi="仿宋" w:eastAsia="仿宋"/>
          <w:b/>
          <w:szCs w:val="32"/>
        </w:rPr>
      </w:pPr>
    </w:p>
    <w:p w14:paraId="0C9A26C0">
      <w:pPr>
        <w:pStyle w:val="2"/>
        <w:numPr>
          <w:ilvl w:val="0"/>
          <w:numId w:val="0"/>
        </w:numPr>
        <w:spacing w:before="312" w:after="312"/>
        <w:jc w:val="both"/>
        <w:rPr>
          <w:rFonts w:hint="eastAsia" w:ascii="仿宋_GB2312" w:hAnsi="仿宋_GB2312" w:eastAsia="仿宋_GB2312" w:cs="仿宋_GB2312"/>
          <w:bCs w:val="0"/>
          <w:color w:val="333333"/>
          <w:kern w:val="0"/>
          <w:sz w:val="32"/>
          <w:szCs w:val="32"/>
          <w:lang w:val="en-US" w:eastAsia="zh-CN" w:bidi="ar-SA"/>
        </w:rPr>
      </w:pPr>
      <w:bookmarkStart w:id="7" w:name="_Toc198202505"/>
      <w:r>
        <w:rPr>
          <w:rFonts w:hint="eastAsia" w:ascii="仿宋_GB2312" w:hAnsi="仿宋_GB2312" w:eastAsia="仿宋_GB2312" w:cs="仿宋_GB2312"/>
          <w:bCs w:val="0"/>
          <w:color w:val="333333"/>
          <w:kern w:val="0"/>
          <w:sz w:val="32"/>
          <w:szCs w:val="32"/>
          <w:lang w:val="en-US" w:eastAsia="zh-CN" w:bidi="ar-SA"/>
        </w:rPr>
        <w:t>第二章 评审方法和评审标准</w:t>
      </w:r>
      <w:bookmarkEnd w:id="7"/>
    </w:p>
    <w:p w14:paraId="10CD5C6F">
      <w:pPr>
        <w:pStyle w:val="3"/>
        <w:rPr>
          <w:rStyle w:val="21"/>
          <w:rFonts w:hint="eastAsia" w:ascii="仿宋_GB2312" w:hAnsi="仿宋_GB2312" w:eastAsia="仿宋_GB2312" w:cs="仿宋_GB2312"/>
          <w:b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Style w:val="21"/>
          <w:rFonts w:hint="eastAsia" w:ascii="仿宋_GB2312" w:hAnsi="仿宋_GB2312" w:eastAsia="仿宋_GB2312" w:cs="仿宋_GB2312"/>
          <w:b/>
          <w:bCs w:val="0"/>
          <w:color w:val="333333"/>
          <w:kern w:val="0"/>
          <w:sz w:val="32"/>
          <w:szCs w:val="32"/>
          <w:lang w:val="en-US" w:eastAsia="zh-CN" w:bidi="ar-SA"/>
        </w:rPr>
        <w:t>评分须知</w:t>
      </w:r>
    </w:p>
    <w:p w14:paraId="315FC925">
      <w:pPr>
        <w:ind w:firstLine="640" w:firstLineChars="2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本项目投标人评分采用综合评分法，按得分由高到低顺序排列，得分最高的投标人为中标候选人。</w:t>
      </w:r>
    </w:p>
    <w:p w14:paraId="42B45A79">
      <w:pPr>
        <w:pStyle w:val="3"/>
        <w:rPr>
          <w:rStyle w:val="21"/>
          <w:rFonts w:hint="eastAsia" w:ascii="仿宋_GB2312" w:hAnsi="仿宋_GB2312" w:eastAsia="仿宋_GB2312" w:cs="仿宋_GB2312"/>
          <w:b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Style w:val="21"/>
          <w:rFonts w:hint="eastAsia" w:ascii="仿宋_GB2312" w:hAnsi="仿宋_GB2312" w:eastAsia="仿宋_GB2312" w:cs="仿宋_GB2312"/>
          <w:b/>
          <w:bCs w:val="0"/>
          <w:color w:val="333333"/>
          <w:kern w:val="0"/>
          <w:sz w:val="32"/>
          <w:szCs w:val="32"/>
          <w:lang w:val="en-US" w:eastAsia="zh-CN" w:bidi="ar-SA"/>
        </w:rPr>
        <w:t>初审资格标准</w:t>
      </w:r>
    </w:p>
    <w:p w14:paraId="1BFF991E">
      <w:pPr>
        <w:ind w:firstLine="640" w:firstLineChars="2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本节所列资格证明文件为必须满足项，缺项或未提供视为无效投标：法定代表人授权委托书、营业执照、依法缴纳税收证明、依法缴纳社会保险资金证明、具备良好商业信誉和健全财务会计制度的承诺书、财务状况报告、参加政府采购活动前3年内在经营活动中没有重大违法记录的书面声明。</w:t>
      </w:r>
    </w:p>
    <w:p w14:paraId="37A1E07A">
      <w:pPr>
        <w:pStyle w:val="3"/>
        <w:rPr>
          <w:rStyle w:val="21"/>
          <w:rFonts w:hint="eastAsia" w:ascii="仿宋_GB2312" w:hAnsi="仿宋_GB2312" w:eastAsia="仿宋_GB2312" w:cs="仿宋_GB2312"/>
          <w:b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Style w:val="21"/>
          <w:rFonts w:hint="eastAsia" w:ascii="仿宋_GB2312" w:hAnsi="仿宋_GB2312" w:eastAsia="仿宋_GB2312" w:cs="仿宋_GB2312"/>
          <w:b/>
          <w:bCs w:val="0"/>
          <w:color w:val="333333"/>
          <w:kern w:val="0"/>
          <w:sz w:val="32"/>
          <w:szCs w:val="32"/>
          <w:lang w:val="en-US" w:eastAsia="zh-CN" w:bidi="ar-SA"/>
        </w:rPr>
        <w:t>评分表</w:t>
      </w:r>
    </w:p>
    <w:p w14:paraId="582D7439">
      <w:pPr>
        <w:ind w:firstLine="640" w:firstLineChars="2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评分表从价格、商务、技术三个方面对投标人进行综合评判。</w:t>
      </w:r>
    </w:p>
    <w:p w14:paraId="62D0889F">
      <w:pPr>
        <w:pStyle w:val="6"/>
        <w:keepNext/>
        <w:jc w:val="center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评分表</w:t>
      </w:r>
    </w:p>
    <w:tbl>
      <w:tblPr>
        <w:tblStyle w:val="18"/>
        <w:tblW w:w="934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710"/>
        <w:gridCol w:w="803"/>
        <w:gridCol w:w="567"/>
        <w:gridCol w:w="708"/>
        <w:gridCol w:w="6128"/>
      </w:tblGrid>
      <w:tr w14:paraId="5CCC40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425" w:type="dxa"/>
            <w:tcBorders>
              <w:top w:val="single" w:color="000000" w:sz="12" w:space="0"/>
              <w:bottom w:val="single" w:color="000000" w:sz="6" w:space="0"/>
            </w:tcBorders>
            <w:shd w:val="pct25" w:color="auto" w:fill="auto"/>
            <w:vAlign w:val="center"/>
          </w:tcPr>
          <w:p w14:paraId="7516146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序号</w:t>
            </w:r>
          </w:p>
        </w:tc>
        <w:tc>
          <w:tcPr>
            <w:tcW w:w="710" w:type="dxa"/>
            <w:tcBorders>
              <w:top w:val="single" w:color="000000" w:sz="12" w:space="0"/>
              <w:bottom w:val="single" w:color="000000" w:sz="6" w:space="0"/>
            </w:tcBorders>
            <w:shd w:val="pct25" w:color="auto" w:fill="auto"/>
            <w:vAlign w:val="center"/>
          </w:tcPr>
          <w:p w14:paraId="6B1988A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</w:rPr>
              <w:t>评审类别</w:t>
            </w:r>
          </w:p>
        </w:tc>
        <w:tc>
          <w:tcPr>
            <w:tcW w:w="803" w:type="dxa"/>
            <w:tcBorders>
              <w:top w:val="single" w:color="000000" w:sz="12" w:space="0"/>
              <w:bottom w:val="single" w:color="000000" w:sz="6" w:space="0"/>
            </w:tcBorders>
            <w:shd w:val="pct25" w:color="auto" w:fill="auto"/>
            <w:vAlign w:val="center"/>
          </w:tcPr>
          <w:p w14:paraId="4D9D96B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</w:rPr>
              <w:t>评审因素</w:t>
            </w:r>
          </w:p>
        </w:tc>
        <w:tc>
          <w:tcPr>
            <w:tcW w:w="567" w:type="dxa"/>
            <w:tcBorders>
              <w:top w:val="single" w:color="000000" w:sz="12" w:space="0"/>
              <w:bottom w:val="single" w:color="000000" w:sz="6" w:space="0"/>
            </w:tcBorders>
            <w:shd w:val="pct25" w:color="auto" w:fill="auto"/>
            <w:vAlign w:val="center"/>
          </w:tcPr>
          <w:p w14:paraId="31AAB42E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分值</w:t>
            </w:r>
          </w:p>
        </w:tc>
        <w:tc>
          <w:tcPr>
            <w:tcW w:w="708" w:type="dxa"/>
            <w:tcBorders>
              <w:top w:val="single" w:color="000000" w:sz="12" w:space="0"/>
              <w:bottom w:val="single" w:color="000000" w:sz="6" w:space="0"/>
            </w:tcBorders>
            <w:shd w:val="pct25" w:color="auto" w:fill="auto"/>
            <w:vAlign w:val="center"/>
          </w:tcPr>
          <w:p w14:paraId="7CCF252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分项</w:t>
            </w:r>
            <w:r>
              <w:rPr>
                <w:rFonts w:ascii="仿宋" w:hAnsi="仿宋" w:eastAsia="仿宋"/>
                <w:b/>
              </w:rPr>
              <w:t>分值</w:t>
            </w:r>
          </w:p>
        </w:tc>
        <w:tc>
          <w:tcPr>
            <w:tcW w:w="6128" w:type="dxa"/>
            <w:tcBorders>
              <w:top w:val="single" w:color="000000" w:sz="12" w:space="0"/>
              <w:bottom w:val="single" w:color="000000" w:sz="6" w:space="0"/>
            </w:tcBorders>
            <w:shd w:val="pct25" w:color="auto" w:fill="auto"/>
            <w:vAlign w:val="center"/>
          </w:tcPr>
          <w:p w14:paraId="31D1E85F">
            <w:pPr>
              <w:widowControl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</w:rPr>
              <w:t>评分标准及说明</w:t>
            </w:r>
          </w:p>
        </w:tc>
      </w:tr>
      <w:tr w14:paraId="73E569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25" w:type="dxa"/>
            <w:vAlign w:val="center"/>
          </w:tcPr>
          <w:p w14:paraId="22DFE753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</w:t>
            </w:r>
          </w:p>
        </w:tc>
        <w:tc>
          <w:tcPr>
            <w:tcW w:w="710" w:type="dxa"/>
            <w:vAlign w:val="center"/>
          </w:tcPr>
          <w:p w14:paraId="02BA1A9F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报价部分</w:t>
            </w:r>
          </w:p>
          <w:p w14:paraId="389BF378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（10分）</w:t>
            </w:r>
          </w:p>
        </w:tc>
        <w:tc>
          <w:tcPr>
            <w:tcW w:w="803" w:type="dxa"/>
            <w:vAlign w:val="center"/>
          </w:tcPr>
          <w:p w14:paraId="51D814CB">
            <w:pPr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价格</w:t>
            </w:r>
          </w:p>
        </w:tc>
        <w:tc>
          <w:tcPr>
            <w:tcW w:w="567" w:type="dxa"/>
            <w:vAlign w:val="center"/>
          </w:tcPr>
          <w:p w14:paraId="69A28430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10</w:t>
            </w:r>
          </w:p>
        </w:tc>
        <w:tc>
          <w:tcPr>
            <w:tcW w:w="708" w:type="dxa"/>
            <w:vAlign w:val="center"/>
          </w:tcPr>
          <w:p w14:paraId="1AB61A7A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10</w:t>
            </w:r>
          </w:p>
        </w:tc>
        <w:tc>
          <w:tcPr>
            <w:tcW w:w="6128" w:type="dxa"/>
            <w:vAlign w:val="center"/>
          </w:tcPr>
          <w:p w14:paraId="57228985">
            <w:pPr>
              <w:widowControl/>
              <w:spacing w:line="32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评标价格分数=（评标基准价/投标报价）×价格权重（10%）×100</w:t>
            </w:r>
          </w:p>
          <w:p w14:paraId="63028CEE">
            <w:pPr>
              <w:widowControl/>
              <w:spacing w:line="32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备注：实质性响应招标文件要求且价格最低的投标报价为评标基准价</w:t>
            </w:r>
          </w:p>
        </w:tc>
      </w:tr>
      <w:tr w14:paraId="7C2F43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  <w:jc w:val="center"/>
        </w:trPr>
        <w:tc>
          <w:tcPr>
            <w:tcW w:w="425" w:type="dxa"/>
            <w:vMerge w:val="restart"/>
            <w:vAlign w:val="center"/>
          </w:tcPr>
          <w:p w14:paraId="4310AB9C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</w:t>
            </w:r>
          </w:p>
        </w:tc>
        <w:tc>
          <w:tcPr>
            <w:tcW w:w="710" w:type="dxa"/>
            <w:vMerge w:val="restart"/>
            <w:vAlign w:val="center"/>
          </w:tcPr>
          <w:p w14:paraId="71944CEC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商务部分</w:t>
            </w:r>
          </w:p>
          <w:p w14:paraId="6157DDFD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（20分）</w:t>
            </w:r>
          </w:p>
        </w:tc>
        <w:tc>
          <w:tcPr>
            <w:tcW w:w="803" w:type="dxa"/>
            <w:vMerge w:val="restart"/>
            <w:vAlign w:val="center"/>
          </w:tcPr>
          <w:p w14:paraId="02EC0E40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资质</w:t>
            </w:r>
          </w:p>
        </w:tc>
        <w:tc>
          <w:tcPr>
            <w:tcW w:w="567" w:type="dxa"/>
            <w:vMerge w:val="restart"/>
            <w:vAlign w:val="center"/>
          </w:tcPr>
          <w:p w14:paraId="34EB70D6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10</w:t>
            </w:r>
          </w:p>
        </w:tc>
        <w:tc>
          <w:tcPr>
            <w:tcW w:w="708" w:type="dxa"/>
            <w:vAlign w:val="center"/>
          </w:tcPr>
          <w:p w14:paraId="47549570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</w:t>
            </w:r>
          </w:p>
        </w:tc>
        <w:tc>
          <w:tcPr>
            <w:tcW w:w="6128" w:type="dxa"/>
            <w:vAlign w:val="center"/>
          </w:tcPr>
          <w:p w14:paraId="12F5D669">
            <w:pPr>
              <w:widowControl/>
              <w:spacing w:line="32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（1）</w:t>
            </w:r>
            <w:r>
              <w:rPr>
                <w:rFonts w:hint="eastAsia" w:ascii="仿宋" w:hAnsi="仿宋" w:eastAsia="仿宋" w:cs="宋体"/>
              </w:rPr>
              <w:t>投标人具备中国信息安全测评中心颁发信息安全服务资质（安全工程类），三级得2分，二级及以下得1分。（提供复印件加盖公章）</w:t>
            </w:r>
          </w:p>
        </w:tc>
      </w:tr>
      <w:tr w14:paraId="4E5C1C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425" w:type="dxa"/>
            <w:vMerge w:val="continue"/>
            <w:vAlign w:val="center"/>
          </w:tcPr>
          <w:p w14:paraId="3C2EF951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710" w:type="dxa"/>
            <w:vMerge w:val="continue"/>
            <w:vAlign w:val="center"/>
          </w:tcPr>
          <w:p w14:paraId="711F7868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803" w:type="dxa"/>
            <w:vMerge w:val="continue"/>
            <w:vAlign w:val="center"/>
          </w:tcPr>
          <w:p w14:paraId="5F5B21C5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462B634C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708" w:type="dxa"/>
            <w:vAlign w:val="center"/>
          </w:tcPr>
          <w:p w14:paraId="098D478F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</w:t>
            </w:r>
          </w:p>
        </w:tc>
        <w:tc>
          <w:tcPr>
            <w:tcW w:w="6128" w:type="dxa"/>
            <w:vAlign w:val="center"/>
          </w:tcPr>
          <w:p w14:paraId="0BFEF079">
            <w:pPr>
              <w:widowControl/>
              <w:spacing w:line="32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（2）投标人具备中国信息安全测评中心颁发信息安全服务资质（安全开发类），三级及以上得2分，二级得1分。（提供复印件加盖公章）</w:t>
            </w:r>
          </w:p>
        </w:tc>
      </w:tr>
      <w:tr w14:paraId="1956E6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425" w:type="dxa"/>
            <w:vMerge w:val="continue"/>
            <w:vAlign w:val="center"/>
          </w:tcPr>
          <w:p w14:paraId="3EB5FD8D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710" w:type="dxa"/>
            <w:vMerge w:val="continue"/>
            <w:vAlign w:val="center"/>
          </w:tcPr>
          <w:p w14:paraId="66CCECAD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803" w:type="dxa"/>
            <w:vMerge w:val="continue"/>
            <w:vAlign w:val="center"/>
          </w:tcPr>
          <w:p w14:paraId="5EA09C9C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52A4FEDD">
            <w:pPr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708" w:type="dxa"/>
            <w:vAlign w:val="center"/>
          </w:tcPr>
          <w:p w14:paraId="1ED2373C">
            <w:pPr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</w:t>
            </w:r>
          </w:p>
        </w:tc>
        <w:tc>
          <w:tcPr>
            <w:tcW w:w="6128" w:type="dxa"/>
            <w:vAlign w:val="center"/>
          </w:tcPr>
          <w:p w14:paraId="019DAF33">
            <w:pPr>
              <w:widowControl/>
              <w:spacing w:line="32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（3）</w:t>
            </w:r>
            <w:r>
              <w:rPr>
                <w:rFonts w:hint="eastAsia" w:ascii="仿宋" w:hAnsi="仿宋" w:eastAsia="仿宋" w:cs="宋体"/>
              </w:rPr>
              <w:t>投标人具备中国信息安全测评中心颁发信息安全服务资质（风险评估类），三级及以上得2分，二级得1分。（提供复印件加盖公章）</w:t>
            </w:r>
          </w:p>
        </w:tc>
      </w:tr>
      <w:tr w14:paraId="2F8782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425" w:type="dxa"/>
            <w:vMerge w:val="continue"/>
            <w:vAlign w:val="center"/>
          </w:tcPr>
          <w:p w14:paraId="35C49F93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710" w:type="dxa"/>
            <w:vMerge w:val="continue"/>
            <w:vAlign w:val="center"/>
          </w:tcPr>
          <w:p w14:paraId="532A8C60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803" w:type="dxa"/>
            <w:vMerge w:val="continue"/>
            <w:vAlign w:val="center"/>
          </w:tcPr>
          <w:p w14:paraId="2258296D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2B39F950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708" w:type="dxa"/>
            <w:vAlign w:val="center"/>
          </w:tcPr>
          <w:p w14:paraId="6A1E4D2C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</w:t>
            </w:r>
          </w:p>
        </w:tc>
        <w:tc>
          <w:tcPr>
            <w:tcW w:w="6128" w:type="dxa"/>
            <w:vAlign w:val="center"/>
          </w:tcPr>
          <w:p w14:paraId="27838C65">
            <w:pPr>
              <w:widowControl/>
              <w:spacing w:line="32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（4）</w:t>
            </w:r>
            <w:r>
              <w:rPr>
                <w:rFonts w:hint="eastAsia" w:ascii="仿宋" w:hAnsi="仿宋" w:eastAsia="仿宋"/>
              </w:rPr>
              <w:t>网络安全应急服务支持单位证书（CNCERT甲级）；具备得2分，不具备得0分。</w:t>
            </w:r>
          </w:p>
          <w:p w14:paraId="7CADB862">
            <w:pPr>
              <w:widowControl/>
              <w:spacing w:line="32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注：须提供证书复印件并加盖公章，否则不予认可。</w:t>
            </w:r>
          </w:p>
        </w:tc>
      </w:tr>
      <w:tr w14:paraId="58992C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425" w:type="dxa"/>
            <w:vMerge w:val="continue"/>
          </w:tcPr>
          <w:p w14:paraId="4CB424F4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710" w:type="dxa"/>
            <w:vMerge w:val="continue"/>
            <w:vAlign w:val="center"/>
          </w:tcPr>
          <w:p w14:paraId="35FA7903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803" w:type="dxa"/>
            <w:vMerge w:val="continue"/>
            <w:vAlign w:val="center"/>
          </w:tcPr>
          <w:p w14:paraId="65012FCB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7993786D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708" w:type="dxa"/>
            <w:vAlign w:val="center"/>
          </w:tcPr>
          <w:p w14:paraId="297FED34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</w:t>
            </w:r>
          </w:p>
        </w:tc>
        <w:tc>
          <w:tcPr>
            <w:tcW w:w="6128" w:type="dxa"/>
            <w:vAlign w:val="center"/>
          </w:tcPr>
          <w:p w14:paraId="5EA682EC">
            <w:pPr>
              <w:widowControl/>
              <w:spacing w:line="32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（5）投标人具备</w:t>
            </w:r>
            <w:r>
              <w:rPr>
                <w:rFonts w:hint="eastAsia" w:ascii="仿宋" w:hAnsi="仿宋" w:eastAsia="仿宋"/>
              </w:rPr>
              <w:t>ISO28000供应链安全管理体系认证证书，提供有效证书得2分，未提供得0分。</w:t>
            </w:r>
          </w:p>
          <w:p w14:paraId="2BBBA441">
            <w:pPr>
              <w:widowControl/>
              <w:spacing w:line="32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注：须提供证书复印件并加盖公章，否则不予认可。</w:t>
            </w:r>
          </w:p>
        </w:tc>
      </w:tr>
      <w:tr w14:paraId="7723D4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425" w:type="dxa"/>
            <w:vMerge w:val="continue"/>
          </w:tcPr>
          <w:p w14:paraId="7CA884A2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710" w:type="dxa"/>
            <w:vMerge w:val="continue"/>
            <w:vAlign w:val="center"/>
          </w:tcPr>
          <w:p w14:paraId="67F52F23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803" w:type="dxa"/>
            <w:vAlign w:val="center"/>
          </w:tcPr>
          <w:p w14:paraId="441E4E52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案例</w:t>
            </w:r>
          </w:p>
        </w:tc>
        <w:tc>
          <w:tcPr>
            <w:tcW w:w="567" w:type="dxa"/>
            <w:vAlign w:val="center"/>
          </w:tcPr>
          <w:p w14:paraId="59AF7C40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10</w:t>
            </w:r>
          </w:p>
        </w:tc>
        <w:tc>
          <w:tcPr>
            <w:tcW w:w="708" w:type="dxa"/>
            <w:vAlign w:val="center"/>
          </w:tcPr>
          <w:p w14:paraId="3C3E82A2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10</w:t>
            </w:r>
          </w:p>
        </w:tc>
        <w:tc>
          <w:tcPr>
            <w:tcW w:w="6128" w:type="dxa"/>
            <w:vAlign w:val="center"/>
          </w:tcPr>
          <w:p w14:paraId="45266375">
            <w:pPr>
              <w:widowControl/>
              <w:spacing w:line="320" w:lineRule="exact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>从202</w:t>
            </w:r>
            <w:r>
              <w:rPr>
                <w:rFonts w:hint="eastAsia" w:ascii="仿宋" w:hAnsi="仿宋" w:eastAsia="仿宋"/>
              </w:rPr>
              <w:t>2</w:t>
            </w:r>
            <w:r>
              <w:rPr>
                <w:rFonts w:ascii="仿宋" w:hAnsi="仿宋" w:eastAsia="仿宋"/>
              </w:rPr>
              <w:t>年</w:t>
            </w:r>
            <w:r>
              <w:rPr>
                <w:rFonts w:hint="eastAsia" w:ascii="仿宋" w:hAnsi="仿宋" w:eastAsia="仿宋"/>
              </w:rPr>
              <w:t>1月1日</w:t>
            </w:r>
            <w:r>
              <w:rPr>
                <w:rFonts w:ascii="仿宋" w:hAnsi="仿宋" w:eastAsia="仿宋"/>
              </w:rPr>
              <w:t>至今（</w:t>
            </w:r>
            <w:r>
              <w:rPr>
                <w:rFonts w:hint="eastAsia" w:ascii="仿宋" w:hAnsi="仿宋" w:eastAsia="仿宋"/>
              </w:rPr>
              <w:t>以</w:t>
            </w:r>
            <w:r>
              <w:rPr>
                <w:rFonts w:ascii="仿宋" w:hAnsi="仿宋" w:eastAsia="仿宋"/>
              </w:rPr>
              <w:t>合同签订日期为准）</w:t>
            </w:r>
            <w:r>
              <w:rPr>
                <w:rFonts w:hint="eastAsia" w:ascii="仿宋" w:hAnsi="仿宋" w:eastAsia="仿宋"/>
              </w:rPr>
              <w:t>独立</w:t>
            </w:r>
            <w:r>
              <w:rPr>
                <w:rFonts w:ascii="仿宋" w:hAnsi="仿宋" w:eastAsia="仿宋"/>
              </w:rPr>
              <w:t>承担的</w:t>
            </w:r>
            <w:r>
              <w:rPr>
                <w:rFonts w:hint="eastAsia" w:ascii="仿宋" w:hAnsi="仿宋" w:eastAsia="仿宋"/>
              </w:rPr>
              <w:t>类似的</w:t>
            </w:r>
            <w:r>
              <w:rPr>
                <w:rFonts w:ascii="仿宋" w:hAnsi="仿宋" w:eastAsia="仿宋"/>
              </w:rPr>
              <w:t>网络安全攻防演练项目案例。</w:t>
            </w:r>
            <w:r>
              <w:rPr>
                <w:rFonts w:hint="eastAsia" w:ascii="仿宋" w:hAnsi="仿宋" w:eastAsia="仿宋"/>
              </w:rPr>
              <w:t>每提供</w:t>
            </w:r>
            <w:r>
              <w:rPr>
                <w:rFonts w:ascii="仿宋" w:hAnsi="仿宋" w:eastAsia="仿宋"/>
              </w:rPr>
              <w:t>一个的</w:t>
            </w:r>
            <w:r>
              <w:rPr>
                <w:rFonts w:hint="eastAsia" w:ascii="仿宋" w:hAnsi="仿宋" w:eastAsia="仿宋"/>
              </w:rPr>
              <w:t>2分</w:t>
            </w:r>
            <w:r>
              <w:rPr>
                <w:rFonts w:ascii="仿宋" w:hAnsi="仿宋" w:eastAsia="仿宋"/>
              </w:rPr>
              <w:t>，最多得</w:t>
            </w:r>
            <w:r>
              <w:rPr>
                <w:rFonts w:hint="eastAsia" w:ascii="仿宋" w:hAnsi="仿宋" w:eastAsia="仿宋"/>
              </w:rPr>
              <w:t>10分</w:t>
            </w:r>
            <w:r>
              <w:rPr>
                <w:rFonts w:ascii="仿宋" w:hAnsi="仿宋" w:eastAsia="仿宋"/>
              </w:rPr>
              <w:t>。</w:t>
            </w:r>
          </w:p>
          <w:p w14:paraId="6CC25AD7">
            <w:pPr>
              <w:widowControl/>
              <w:spacing w:line="32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注：投标人须提供合同首页、签字盖章页、服务内容页并加盖供应商公章。</w:t>
            </w:r>
          </w:p>
        </w:tc>
      </w:tr>
      <w:tr w14:paraId="2D10EC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425" w:type="dxa"/>
            <w:vMerge w:val="restart"/>
            <w:vAlign w:val="center"/>
          </w:tcPr>
          <w:p w14:paraId="348AF0EF">
            <w:pPr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</w:t>
            </w:r>
          </w:p>
        </w:tc>
        <w:tc>
          <w:tcPr>
            <w:tcW w:w="710" w:type="dxa"/>
            <w:vMerge w:val="restart"/>
            <w:vAlign w:val="center"/>
          </w:tcPr>
          <w:p w14:paraId="5149BE31">
            <w:pPr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技术</w:t>
            </w:r>
            <w:r>
              <w:rPr>
                <w:rFonts w:ascii="仿宋" w:hAnsi="仿宋" w:eastAsia="仿宋"/>
              </w:rPr>
              <w:t>部分（</w:t>
            </w:r>
            <w:r>
              <w:rPr>
                <w:rFonts w:hint="eastAsia" w:ascii="仿宋" w:hAnsi="仿宋" w:eastAsia="仿宋"/>
              </w:rPr>
              <w:t>70分</w:t>
            </w:r>
            <w:r>
              <w:rPr>
                <w:rFonts w:ascii="仿宋" w:hAnsi="仿宋" w:eastAsia="仿宋"/>
              </w:rPr>
              <w:t>）</w:t>
            </w:r>
          </w:p>
        </w:tc>
        <w:tc>
          <w:tcPr>
            <w:tcW w:w="803" w:type="dxa"/>
            <w:vAlign w:val="center"/>
          </w:tcPr>
          <w:p w14:paraId="15122E94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>荣誉</w:t>
            </w:r>
          </w:p>
        </w:tc>
        <w:tc>
          <w:tcPr>
            <w:tcW w:w="567" w:type="dxa"/>
            <w:vAlign w:val="center"/>
          </w:tcPr>
          <w:p w14:paraId="75918FE5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4</w:t>
            </w:r>
          </w:p>
        </w:tc>
        <w:tc>
          <w:tcPr>
            <w:tcW w:w="708" w:type="dxa"/>
            <w:vAlign w:val="center"/>
          </w:tcPr>
          <w:p w14:paraId="6C4A43DE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4</w:t>
            </w:r>
          </w:p>
        </w:tc>
        <w:tc>
          <w:tcPr>
            <w:tcW w:w="6128" w:type="dxa"/>
            <w:vAlign w:val="center"/>
          </w:tcPr>
          <w:p w14:paraId="781A8944">
            <w:pPr>
              <w:widowControl/>
              <w:spacing w:line="32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曾在</w:t>
            </w:r>
            <w:r>
              <w:rPr>
                <w:rFonts w:ascii="仿宋" w:hAnsi="仿宋" w:eastAsia="仿宋"/>
              </w:rPr>
              <w:t>国内网络安全赛事（强网杯、网鼎杯等国家级赛事）中获奖的最高排名，</w:t>
            </w:r>
            <w:r>
              <w:rPr>
                <w:rFonts w:hint="eastAsia" w:ascii="仿宋" w:hAnsi="仿宋" w:eastAsia="仿宋"/>
              </w:rPr>
              <w:t>前3</w:t>
            </w:r>
            <w:r>
              <w:rPr>
                <w:rFonts w:ascii="仿宋" w:hAnsi="仿宋" w:eastAsia="仿宋"/>
              </w:rPr>
              <w:t>名（含</w:t>
            </w:r>
            <w:r>
              <w:rPr>
                <w:rFonts w:hint="eastAsia" w:ascii="仿宋" w:hAnsi="仿宋" w:eastAsia="仿宋"/>
              </w:rPr>
              <w:t>三</w:t>
            </w:r>
            <w:r>
              <w:rPr>
                <w:rFonts w:ascii="仿宋" w:hAnsi="仿宋" w:eastAsia="仿宋"/>
              </w:rPr>
              <w:t>等奖） 得</w:t>
            </w:r>
            <w:r>
              <w:rPr>
                <w:rFonts w:hint="eastAsia" w:ascii="仿宋" w:hAnsi="仿宋" w:eastAsia="仿宋"/>
              </w:rPr>
              <w:t>4</w:t>
            </w:r>
            <w:r>
              <w:rPr>
                <w:rFonts w:ascii="仿宋" w:hAnsi="仿宋" w:eastAsia="仿宋"/>
              </w:rPr>
              <w:t>分，</w:t>
            </w:r>
            <w:r>
              <w:rPr>
                <w:rFonts w:hint="eastAsia" w:ascii="仿宋" w:hAnsi="仿宋" w:eastAsia="仿宋"/>
              </w:rPr>
              <w:t>4</w:t>
            </w:r>
            <w:r>
              <w:rPr>
                <w:rFonts w:ascii="仿宋" w:hAnsi="仿宋" w:eastAsia="仿宋"/>
              </w:rPr>
              <w:t>-6</w:t>
            </w:r>
            <w:r>
              <w:rPr>
                <w:rFonts w:hint="eastAsia" w:ascii="仿宋" w:hAnsi="仿宋" w:eastAsia="仿宋"/>
              </w:rPr>
              <w:t>名</w:t>
            </w:r>
            <w:r>
              <w:rPr>
                <w:rFonts w:ascii="仿宋" w:hAnsi="仿宋" w:eastAsia="仿宋"/>
              </w:rPr>
              <w:t xml:space="preserve">得 </w:t>
            </w:r>
            <w:r>
              <w:rPr>
                <w:rFonts w:hint="eastAsia" w:ascii="仿宋" w:hAnsi="仿宋" w:eastAsia="仿宋"/>
              </w:rPr>
              <w:t>2</w:t>
            </w:r>
            <w:r>
              <w:rPr>
                <w:rFonts w:ascii="仿宋" w:hAnsi="仿宋" w:eastAsia="仿宋"/>
              </w:rPr>
              <w:t>分，</w:t>
            </w:r>
            <w:r>
              <w:rPr>
                <w:rFonts w:hint="eastAsia" w:ascii="仿宋" w:hAnsi="仿宋" w:eastAsia="仿宋"/>
              </w:rPr>
              <w:t>7</w:t>
            </w:r>
            <w:r>
              <w:rPr>
                <w:rFonts w:ascii="仿宋" w:hAnsi="仿宋" w:eastAsia="仿宋"/>
              </w:rPr>
              <w:t>-10</w:t>
            </w:r>
            <w:r>
              <w:rPr>
                <w:rFonts w:hint="eastAsia" w:ascii="仿宋" w:hAnsi="仿宋" w:eastAsia="仿宋"/>
              </w:rPr>
              <w:t>名</w:t>
            </w:r>
            <w:r>
              <w:rPr>
                <w:rFonts w:ascii="仿宋" w:hAnsi="仿宋" w:eastAsia="仿宋"/>
              </w:rPr>
              <w:t xml:space="preserve">得 </w:t>
            </w:r>
            <w:r>
              <w:rPr>
                <w:rFonts w:hint="eastAsia" w:ascii="仿宋" w:hAnsi="仿宋" w:eastAsia="仿宋"/>
              </w:rPr>
              <w:t>1</w:t>
            </w:r>
            <w:r>
              <w:rPr>
                <w:rFonts w:ascii="仿宋" w:hAnsi="仿宋" w:eastAsia="仿宋"/>
              </w:rPr>
              <w:t xml:space="preserve">分，参与比赛并进入决赛但未获得名次，得 </w:t>
            </w:r>
            <w:r>
              <w:rPr>
                <w:rFonts w:hint="eastAsia" w:ascii="仿宋" w:hAnsi="仿宋" w:eastAsia="仿宋"/>
              </w:rPr>
              <w:t>0</w:t>
            </w:r>
            <w:r>
              <w:rPr>
                <w:rFonts w:ascii="仿宋" w:hAnsi="仿宋" w:eastAsia="仿宋"/>
              </w:rPr>
              <w:t xml:space="preserve">分。本项最高 </w:t>
            </w:r>
            <w:r>
              <w:rPr>
                <w:rFonts w:hint="eastAsia" w:ascii="仿宋" w:hAnsi="仿宋" w:eastAsia="仿宋"/>
              </w:rPr>
              <w:t>4</w:t>
            </w:r>
            <w:r>
              <w:rPr>
                <w:rFonts w:ascii="仿宋" w:hAnsi="仿宋" w:eastAsia="仿宋"/>
              </w:rPr>
              <w:t>分。</w:t>
            </w:r>
            <w:r>
              <w:rPr>
                <w:rFonts w:hint="eastAsia" w:ascii="仿宋" w:hAnsi="仿宋" w:eastAsia="仿宋"/>
              </w:rPr>
              <w:t>注</w:t>
            </w:r>
            <w:r>
              <w:rPr>
                <w:rFonts w:ascii="仿宋" w:hAnsi="仿宋" w:eastAsia="仿宋"/>
              </w:rPr>
              <w:t>：提供证明材料。</w:t>
            </w:r>
          </w:p>
        </w:tc>
      </w:tr>
      <w:tr w14:paraId="387836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425" w:type="dxa"/>
            <w:vMerge w:val="continue"/>
          </w:tcPr>
          <w:p w14:paraId="7D3B2818">
            <w:pPr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710" w:type="dxa"/>
            <w:vMerge w:val="continue"/>
            <w:vAlign w:val="center"/>
          </w:tcPr>
          <w:p w14:paraId="617E2E55">
            <w:pPr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803" w:type="dxa"/>
            <w:vAlign w:val="center"/>
          </w:tcPr>
          <w:p w14:paraId="40C45868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>成绩</w:t>
            </w:r>
          </w:p>
        </w:tc>
        <w:tc>
          <w:tcPr>
            <w:tcW w:w="567" w:type="dxa"/>
            <w:vAlign w:val="center"/>
          </w:tcPr>
          <w:p w14:paraId="47806C57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4</w:t>
            </w:r>
          </w:p>
        </w:tc>
        <w:tc>
          <w:tcPr>
            <w:tcW w:w="708" w:type="dxa"/>
            <w:vAlign w:val="center"/>
          </w:tcPr>
          <w:p w14:paraId="24C9284A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4</w:t>
            </w:r>
          </w:p>
        </w:tc>
        <w:tc>
          <w:tcPr>
            <w:tcW w:w="6128" w:type="dxa"/>
            <w:vAlign w:val="center"/>
          </w:tcPr>
          <w:p w14:paraId="541B5AD3">
            <w:pPr>
              <w:widowControl/>
              <w:spacing w:line="32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曾</w:t>
            </w:r>
            <w:r>
              <w:rPr>
                <w:rFonts w:ascii="仿宋" w:hAnsi="仿宋" w:eastAsia="仿宋"/>
              </w:rPr>
              <w:t>在公安部组织的网络攻防演习中获得过“最佳攻击团队”或者“优秀攻击队伍”奖，得4分。</w:t>
            </w:r>
            <w:r>
              <w:rPr>
                <w:rFonts w:hint="eastAsia" w:ascii="仿宋" w:hAnsi="仿宋" w:eastAsia="仿宋"/>
              </w:rPr>
              <w:t>注</w:t>
            </w:r>
            <w:r>
              <w:rPr>
                <w:rFonts w:ascii="仿宋" w:hAnsi="仿宋" w:eastAsia="仿宋"/>
              </w:rPr>
              <w:t>：提供证明材料。</w:t>
            </w:r>
          </w:p>
        </w:tc>
      </w:tr>
      <w:tr w14:paraId="6349D8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425" w:type="dxa"/>
            <w:vMerge w:val="continue"/>
          </w:tcPr>
          <w:p w14:paraId="76CEE0C0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710" w:type="dxa"/>
            <w:vMerge w:val="continue"/>
            <w:vAlign w:val="center"/>
          </w:tcPr>
          <w:p w14:paraId="79911E4E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803" w:type="dxa"/>
            <w:vMerge w:val="restart"/>
            <w:vAlign w:val="center"/>
          </w:tcPr>
          <w:p w14:paraId="4F44A094">
            <w:pPr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  <w:p w14:paraId="16D12C8E">
            <w:pPr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  <w:p w14:paraId="71A6EE71">
            <w:pPr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  <w:p w14:paraId="2C16615C">
            <w:pPr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  <w:p w14:paraId="71A1C715">
            <w:pPr>
              <w:spacing w:line="320" w:lineRule="exact"/>
              <w:rPr>
                <w:rFonts w:hint="eastAsia" w:ascii="仿宋" w:hAnsi="仿宋" w:eastAsia="仿宋"/>
              </w:rPr>
            </w:pPr>
          </w:p>
          <w:p w14:paraId="665F6777">
            <w:pPr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团队配备</w:t>
            </w:r>
          </w:p>
        </w:tc>
        <w:tc>
          <w:tcPr>
            <w:tcW w:w="567" w:type="dxa"/>
            <w:vMerge w:val="restart"/>
            <w:vAlign w:val="center"/>
          </w:tcPr>
          <w:p w14:paraId="75111D5D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  <w:p w14:paraId="2CA07086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  <w:p w14:paraId="22098259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  <w:p w14:paraId="61DA569D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  <w:p w14:paraId="1039AD6A">
            <w:pPr>
              <w:widowControl/>
              <w:spacing w:line="320" w:lineRule="exact"/>
              <w:rPr>
                <w:rFonts w:hint="eastAsia" w:ascii="仿宋" w:hAnsi="仿宋" w:eastAsia="仿宋"/>
              </w:rPr>
            </w:pPr>
          </w:p>
          <w:p w14:paraId="0FBE6FF6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>1</w:t>
            </w:r>
            <w:r>
              <w:rPr>
                <w:rFonts w:hint="eastAsia" w:ascii="仿宋" w:hAnsi="仿宋" w:eastAsia="仿宋"/>
              </w:rPr>
              <w:t>6</w:t>
            </w:r>
          </w:p>
        </w:tc>
        <w:tc>
          <w:tcPr>
            <w:tcW w:w="708" w:type="dxa"/>
            <w:vAlign w:val="center"/>
          </w:tcPr>
          <w:p w14:paraId="17D9E98A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  <w:p w14:paraId="1DE11D50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  <w:p w14:paraId="602E5928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>6</w:t>
            </w:r>
          </w:p>
        </w:tc>
        <w:tc>
          <w:tcPr>
            <w:tcW w:w="6128" w:type="dxa"/>
            <w:vAlign w:val="center"/>
          </w:tcPr>
          <w:p w14:paraId="6D1F3E3A">
            <w:pPr>
              <w:widowControl/>
              <w:spacing w:line="32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项目经理：</w:t>
            </w:r>
          </w:p>
          <w:p w14:paraId="754272A2">
            <w:pPr>
              <w:widowControl/>
              <w:spacing w:line="32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（1）承担本项目的项目经理具备5年（含）以上网络安全相关工作经验，得2分。</w:t>
            </w:r>
          </w:p>
          <w:p w14:paraId="11349901">
            <w:pPr>
              <w:widowControl/>
              <w:spacing w:line="32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注：提供有效证明材料。</w:t>
            </w:r>
          </w:p>
          <w:p w14:paraId="470D462C">
            <w:pPr>
              <w:widowControl/>
              <w:spacing w:line="32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（2）项目经理同时具备信息系统项目管理师（高级）证书、项目管理师（PMP）证书、数据库系统工程师（中级）证书、与信息安全保障人员（CISAW）证书，得4分；每一项不满足扣1分，直至0分。</w:t>
            </w:r>
          </w:p>
        </w:tc>
      </w:tr>
      <w:tr w14:paraId="0FF7A1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4" w:hRule="atLeast"/>
          <w:jc w:val="center"/>
        </w:trPr>
        <w:tc>
          <w:tcPr>
            <w:tcW w:w="425" w:type="dxa"/>
            <w:vMerge w:val="continue"/>
          </w:tcPr>
          <w:p w14:paraId="22F460A6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710" w:type="dxa"/>
            <w:vMerge w:val="continue"/>
            <w:vAlign w:val="center"/>
          </w:tcPr>
          <w:p w14:paraId="142C75CE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803" w:type="dxa"/>
            <w:vMerge w:val="continue"/>
            <w:vAlign w:val="center"/>
          </w:tcPr>
          <w:p w14:paraId="08B02DD7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69DB47F3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708" w:type="dxa"/>
            <w:vAlign w:val="center"/>
          </w:tcPr>
          <w:p w14:paraId="1C6433FC">
            <w:pPr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10</w:t>
            </w:r>
          </w:p>
        </w:tc>
        <w:tc>
          <w:tcPr>
            <w:tcW w:w="6128" w:type="dxa"/>
            <w:vAlign w:val="center"/>
          </w:tcPr>
          <w:p w14:paraId="4B2B03F1">
            <w:pPr>
              <w:widowControl/>
              <w:spacing w:line="320" w:lineRule="exact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>项目组成员</w:t>
            </w:r>
            <w:r>
              <w:rPr>
                <w:rFonts w:hint="eastAsia" w:ascii="仿宋" w:hAnsi="仿宋" w:eastAsia="仿宋"/>
              </w:rPr>
              <w:t>：</w:t>
            </w:r>
          </w:p>
          <w:p w14:paraId="4C4313A2">
            <w:pPr>
              <w:widowControl/>
              <w:spacing w:line="32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项目组成员应具备C</w:t>
            </w:r>
            <w:r>
              <w:rPr>
                <w:rFonts w:ascii="仿宋" w:hAnsi="仿宋" w:eastAsia="仿宋"/>
              </w:rPr>
              <w:t>ISP-PTS</w:t>
            </w:r>
            <w:r>
              <w:rPr>
                <w:rFonts w:hint="eastAsia" w:ascii="仿宋" w:hAnsi="仿宋" w:eastAsia="仿宋"/>
              </w:rPr>
              <w:t>证书，不少于3人（含）具备C</w:t>
            </w:r>
            <w:r>
              <w:rPr>
                <w:rFonts w:ascii="仿宋" w:hAnsi="仿宋" w:eastAsia="仿宋"/>
              </w:rPr>
              <w:t>ISP-PTS</w:t>
            </w:r>
            <w:r>
              <w:rPr>
                <w:rFonts w:hint="eastAsia" w:ascii="仿宋" w:hAnsi="仿宋" w:eastAsia="仿宋"/>
              </w:rPr>
              <w:t>证书，得6分，少于3人具备C</w:t>
            </w:r>
            <w:r>
              <w:rPr>
                <w:rFonts w:ascii="仿宋" w:hAnsi="仿宋" w:eastAsia="仿宋"/>
              </w:rPr>
              <w:t>ISP-PTS</w:t>
            </w:r>
            <w:r>
              <w:rPr>
                <w:rFonts w:hint="eastAsia" w:ascii="仿宋" w:hAnsi="仿宋" w:eastAsia="仿宋"/>
              </w:rPr>
              <w:t>证书，得3分，否则不得分。</w:t>
            </w:r>
          </w:p>
          <w:p w14:paraId="44551AF2">
            <w:pPr>
              <w:spacing w:line="320" w:lineRule="exact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>至少1人向 CNVD</w:t>
            </w:r>
            <w:r>
              <w:rPr>
                <w:rFonts w:hint="eastAsia" w:ascii="仿宋" w:hAnsi="仿宋" w:eastAsia="仿宋"/>
              </w:rPr>
              <w:t>、</w:t>
            </w:r>
            <w:r>
              <w:rPr>
                <w:rFonts w:ascii="仿宋" w:hAnsi="仿宋" w:eastAsia="仿宋"/>
              </w:rPr>
              <w:t xml:space="preserve">CNNVD </w:t>
            </w:r>
            <w:r>
              <w:rPr>
                <w:rFonts w:hint="eastAsia" w:ascii="仿宋" w:hAnsi="仿宋" w:eastAsia="仿宋"/>
              </w:rPr>
              <w:t>、C</w:t>
            </w:r>
            <w:r>
              <w:rPr>
                <w:rFonts w:ascii="仿宋" w:hAnsi="仿宋" w:eastAsia="仿宋"/>
              </w:rPr>
              <w:t>VE或 SRC等</w:t>
            </w:r>
            <w:r>
              <w:rPr>
                <w:rFonts w:hint="eastAsia" w:ascii="仿宋" w:hAnsi="仿宋" w:eastAsia="仿宋"/>
              </w:rPr>
              <w:t>组织提交过</w:t>
            </w:r>
            <w:r>
              <w:rPr>
                <w:rFonts w:ascii="仿宋" w:hAnsi="仿宋" w:eastAsia="仿宋"/>
              </w:rPr>
              <w:t>高危漏洞，每提交1个漏洞得1分，最高得</w:t>
            </w:r>
            <w:r>
              <w:rPr>
                <w:rFonts w:hint="eastAsia" w:ascii="仿宋" w:hAnsi="仿宋" w:eastAsia="仿宋"/>
              </w:rPr>
              <w:t>4</w:t>
            </w:r>
            <w:r>
              <w:rPr>
                <w:rFonts w:ascii="仿宋" w:hAnsi="仿宋" w:eastAsia="仿宋"/>
              </w:rPr>
              <w:t>分。需提供证明材料。</w:t>
            </w:r>
          </w:p>
        </w:tc>
      </w:tr>
      <w:tr w14:paraId="129E0B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425" w:type="dxa"/>
            <w:vMerge w:val="continue"/>
          </w:tcPr>
          <w:p w14:paraId="76C92D7D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710" w:type="dxa"/>
            <w:vMerge w:val="continue"/>
            <w:vAlign w:val="center"/>
          </w:tcPr>
          <w:p w14:paraId="1EE306FB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803" w:type="dxa"/>
            <w:vAlign w:val="center"/>
          </w:tcPr>
          <w:p w14:paraId="068F8B40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项目需求理解</w:t>
            </w:r>
          </w:p>
        </w:tc>
        <w:tc>
          <w:tcPr>
            <w:tcW w:w="567" w:type="dxa"/>
            <w:vAlign w:val="center"/>
          </w:tcPr>
          <w:p w14:paraId="4BDDD557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6</w:t>
            </w:r>
          </w:p>
        </w:tc>
        <w:tc>
          <w:tcPr>
            <w:tcW w:w="708" w:type="dxa"/>
            <w:vAlign w:val="center"/>
          </w:tcPr>
          <w:p w14:paraId="184E4233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6</w:t>
            </w:r>
          </w:p>
        </w:tc>
        <w:tc>
          <w:tcPr>
            <w:tcW w:w="6128" w:type="dxa"/>
            <w:vAlign w:val="center"/>
          </w:tcPr>
          <w:p w14:paraId="37C38CCF">
            <w:pPr>
              <w:widowControl/>
              <w:spacing w:line="24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针对本项目需求内容进行分析：</w:t>
            </w:r>
          </w:p>
          <w:p w14:paraId="63FDA814">
            <w:pPr>
              <w:widowControl/>
              <w:spacing w:line="24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分析内容进行了详细的阐述，能正确理解项目需求，思路清晰，合理分析且满足本项目采购需求，得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分；</w:t>
            </w:r>
          </w:p>
          <w:p w14:paraId="15260107">
            <w:pPr>
              <w:widowControl/>
              <w:spacing w:line="24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分析内容虽进行阐述但并未贴合项目采购需求情况进行详细论述，或分析中未包括具体实施细节及措施，得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分；</w:t>
            </w:r>
          </w:p>
          <w:p w14:paraId="6E022363">
            <w:pPr>
              <w:widowControl/>
              <w:spacing w:line="24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分析满足本项目采购需求，但仅为对采购需求的简单复制，未进行进一步的详细阐述，得</w:t>
            </w:r>
            <w:r>
              <w:rPr>
                <w:rFonts w:ascii="仿宋" w:hAnsi="仿宋" w:eastAsia="仿宋" w:cs="宋体"/>
                <w:kern w:val="0"/>
                <w:szCs w:val="21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分；</w:t>
            </w:r>
          </w:p>
          <w:p w14:paraId="0D4E5EF8">
            <w:pPr>
              <w:widowControl/>
              <w:spacing w:line="32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分析内容未进行任何阐述或不满足本项目采购需求，得0分。</w:t>
            </w:r>
          </w:p>
        </w:tc>
      </w:tr>
      <w:tr w14:paraId="2FA89F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425" w:type="dxa"/>
            <w:vMerge w:val="continue"/>
          </w:tcPr>
          <w:p w14:paraId="2A0491C0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710" w:type="dxa"/>
            <w:vMerge w:val="continue"/>
            <w:vAlign w:val="center"/>
          </w:tcPr>
          <w:p w14:paraId="0C582E2C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803" w:type="dxa"/>
            <w:vAlign w:val="center"/>
          </w:tcPr>
          <w:p w14:paraId="2DF00309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总体服务方案</w:t>
            </w:r>
          </w:p>
        </w:tc>
        <w:tc>
          <w:tcPr>
            <w:tcW w:w="567" w:type="dxa"/>
            <w:vAlign w:val="center"/>
          </w:tcPr>
          <w:p w14:paraId="6BB13AD2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17</w:t>
            </w:r>
          </w:p>
        </w:tc>
        <w:tc>
          <w:tcPr>
            <w:tcW w:w="708" w:type="dxa"/>
            <w:vAlign w:val="center"/>
          </w:tcPr>
          <w:p w14:paraId="092A803B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17</w:t>
            </w:r>
          </w:p>
        </w:tc>
        <w:tc>
          <w:tcPr>
            <w:tcW w:w="6128" w:type="dxa"/>
            <w:vAlign w:val="center"/>
          </w:tcPr>
          <w:p w14:paraId="3E860750">
            <w:pPr>
              <w:widowControl/>
              <w:spacing w:line="32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根据服务</w:t>
            </w:r>
            <w:r>
              <w:rPr>
                <w:rFonts w:ascii="仿宋" w:hAnsi="仿宋" w:eastAsia="仿宋"/>
              </w:rPr>
              <w:t>商</w:t>
            </w:r>
            <w:r>
              <w:rPr>
                <w:rFonts w:hint="eastAsia" w:ascii="仿宋" w:hAnsi="仿宋" w:eastAsia="仿宋"/>
              </w:rPr>
              <w:t>提供的总体服务方案进行评价：</w:t>
            </w:r>
          </w:p>
          <w:p w14:paraId="36D36486">
            <w:pPr>
              <w:widowControl/>
              <w:spacing w:line="32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1.与现状结合紧密，方案完整、合理、可行，满足要求且</w:t>
            </w:r>
            <w:r>
              <w:rPr>
                <w:rFonts w:ascii="仿宋" w:hAnsi="仿宋" w:eastAsia="仿宋"/>
              </w:rPr>
              <w:t>相对最优的</w:t>
            </w:r>
            <w:r>
              <w:rPr>
                <w:rFonts w:hint="eastAsia" w:ascii="仿宋" w:hAnsi="仿宋" w:eastAsia="仿宋"/>
              </w:rPr>
              <w:t>得17分；</w:t>
            </w:r>
          </w:p>
          <w:p w14:paraId="66C44810">
            <w:pPr>
              <w:widowControl/>
              <w:spacing w:line="32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2.方案可行，但与系统现状结合不紧密、或不完整、或部分满足要求，或无针对性得12分；</w:t>
            </w:r>
          </w:p>
          <w:p w14:paraId="130D706C">
            <w:pPr>
              <w:widowControl/>
              <w:spacing w:line="32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3.方案部分可行，无针对性得8分；</w:t>
            </w:r>
          </w:p>
          <w:p w14:paraId="059E9436">
            <w:pPr>
              <w:widowControl/>
              <w:spacing w:line="32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4.方案不可行或未提供得0分。</w:t>
            </w:r>
          </w:p>
        </w:tc>
      </w:tr>
      <w:tr w14:paraId="191D44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425" w:type="dxa"/>
            <w:vMerge w:val="continue"/>
          </w:tcPr>
          <w:p w14:paraId="72B5813F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710" w:type="dxa"/>
            <w:vMerge w:val="continue"/>
            <w:vAlign w:val="center"/>
          </w:tcPr>
          <w:p w14:paraId="382C53DC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803" w:type="dxa"/>
            <w:vAlign w:val="center"/>
          </w:tcPr>
          <w:p w14:paraId="1799F012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项目管理方案</w:t>
            </w:r>
          </w:p>
        </w:tc>
        <w:tc>
          <w:tcPr>
            <w:tcW w:w="567" w:type="dxa"/>
            <w:vAlign w:val="center"/>
          </w:tcPr>
          <w:p w14:paraId="079BB184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10</w:t>
            </w:r>
          </w:p>
        </w:tc>
        <w:tc>
          <w:tcPr>
            <w:tcW w:w="708" w:type="dxa"/>
            <w:vAlign w:val="center"/>
          </w:tcPr>
          <w:p w14:paraId="7AF5D9A9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10</w:t>
            </w:r>
          </w:p>
        </w:tc>
        <w:tc>
          <w:tcPr>
            <w:tcW w:w="6128" w:type="dxa"/>
            <w:vAlign w:val="center"/>
          </w:tcPr>
          <w:p w14:paraId="1449847E">
            <w:pPr>
              <w:spacing w:line="240" w:lineRule="exact"/>
              <w:rPr>
                <w:rFonts w:hint="eastAsia" w:ascii="仿宋" w:hAnsi="仿宋" w:eastAsia="仿宋" w:cs="仿宋_GB2312"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Cs/>
                <w:szCs w:val="21"/>
              </w:rPr>
              <w:t>具有完善的项目管理体系，包含项目进度控制、质量保证、文档管理、风险控制、变更管理等内容，根据项目管理的合理性、全面性、可操作性等进行评审。</w:t>
            </w:r>
          </w:p>
          <w:p w14:paraId="636CA1D3">
            <w:pPr>
              <w:spacing w:line="240" w:lineRule="exact"/>
              <w:rPr>
                <w:rFonts w:hint="eastAsia" w:ascii="仿宋" w:hAnsi="仿宋" w:eastAsia="仿宋" w:cs="仿宋_GB2312"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Cs/>
                <w:szCs w:val="21"/>
              </w:rPr>
              <w:t>项目管理方案全面完善，针对本项目制定，有利于本项目实施得10分；</w:t>
            </w:r>
          </w:p>
          <w:p w14:paraId="59890380">
            <w:pPr>
              <w:spacing w:line="240" w:lineRule="exact"/>
              <w:rPr>
                <w:rFonts w:hint="eastAsia" w:ascii="仿宋" w:hAnsi="仿宋" w:eastAsia="仿宋" w:cs="仿宋_GB2312"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Cs/>
                <w:szCs w:val="21"/>
              </w:rPr>
              <w:t>项目管理方案较全面，可保证本项目顺利实施，得7分；</w:t>
            </w:r>
          </w:p>
          <w:p w14:paraId="78583C42">
            <w:pPr>
              <w:spacing w:line="240" w:lineRule="exact"/>
              <w:rPr>
                <w:rFonts w:hint="eastAsia" w:ascii="仿宋" w:hAnsi="仿宋" w:eastAsia="仿宋" w:cs="仿宋_GB2312"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Cs/>
                <w:szCs w:val="21"/>
              </w:rPr>
              <w:t>项目管理方案有部分考虑不周，不影响项目实施，得3分；</w:t>
            </w:r>
          </w:p>
          <w:p w14:paraId="6C0CAC5B">
            <w:pPr>
              <w:spacing w:line="240" w:lineRule="exact"/>
              <w:rPr>
                <w:rFonts w:hint="eastAsia" w:ascii="仿宋" w:hAnsi="仿宋" w:eastAsia="仿宋" w:cs="仿宋_GB2312"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Cs/>
                <w:szCs w:val="21"/>
              </w:rPr>
              <w:t>项目管理方案有明显缺陷，可能影响项目实施，得1分；</w:t>
            </w:r>
          </w:p>
          <w:p w14:paraId="44AC17E3">
            <w:pPr>
              <w:widowControl/>
              <w:spacing w:line="32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仿宋_GB2312"/>
                <w:bCs/>
                <w:szCs w:val="21"/>
              </w:rPr>
              <w:t>项目管理方案不能满足采购需求，或未提供得0分。</w:t>
            </w:r>
          </w:p>
        </w:tc>
      </w:tr>
      <w:tr w14:paraId="35168C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425" w:type="dxa"/>
            <w:vMerge w:val="continue"/>
          </w:tcPr>
          <w:p w14:paraId="72F06195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710" w:type="dxa"/>
            <w:vMerge w:val="continue"/>
            <w:vAlign w:val="center"/>
          </w:tcPr>
          <w:p w14:paraId="0ADC8D37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803" w:type="dxa"/>
            <w:vMerge w:val="restart"/>
            <w:vAlign w:val="center"/>
          </w:tcPr>
          <w:p w14:paraId="4A2222AA">
            <w:pPr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服务承诺</w:t>
            </w:r>
          </w:p>
        </w:tc>
        <w:tc>
          <w:tcPr>
            <w:tcW w:w="567" w:type="dxa"/>
            <w:vMerge w:val="restart"/>
            <w:vAlign w:val="center"/>
          </w:tcPr>
          <w:p w14:paraId="1A98A9A1">
            <w:pPr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13</w:t>
            </w:r>
          </w:p>
        </w:tc>
        <w:tc>
          <w:tcPr>
            <w:tcW w:w="708" w:type="dxa"/>
            <w:vAlign w:val="center"/>
          </w:tcPr>
          <w:p w14:paraId="6DB03F1B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8</w:t>
            </w:r>
          </w:p>
        </w:tc>
        <w:tc>
          <w:tcPr>
            <w:tcW w:w="6128" w:type="dxa"/>
            <w:vAlign w:val="center"/>
          </w:tcPr>
          <w:p w14:paraId="1D71E2CD">
            <w:pPr>
              <w:widowControl/>
              <w:spacing w:line="32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服务商售后技术支持体系完善，具有北京地区本地专门的网络安全服务团队，能够提供北京地区的技术服务能力的证明材料得</w:t>
            </w:r>
            <w:r>
              <w:rPr>
                <w:rFonts w:ascii="仿宋" w:hAnsi="仿宋" w:eastAsia="仿宋"/>
              </w:rPr>
              <w:t>8</w:t>
            </w:r>
            <w:r>
              <w:rPr>
                <w:rFonts w:hint="eastAsia" w:ascii="仿宋" w:hAnsi="仿宋" w:eastAsia="仿宋"/>
              </w:rPr>
              <w:t>分，不能提供得0分。</w:t>
            </w:r>
          </w:p>
        </w:tc>
      </w:tr>
      <w:tr w14:paraId="7487B6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425" w:type="dxa"/>
            <w:vMerge w:val="continue"/>
          </w:tcPr>
          <w:p w14:paraId="3D26010D">
            <w:pPr>
              <w:widowControl/>
              <w:spacing w:line="320" w:lineRule="exact"/>
              <w:rPr>
                <w:rFonts w:hint="eastAsia" w:ascii="仿宋" w:hAnsi="仿宋" w:eastAsia="仿宋"/>
              </w:rPr>
            </w:pPr>
          </w:p>
        </w:tc>
        <w:tc>
          <w:tcPr>
            <w:tcW w:w="710" w:type="dxa"/>
            <w:vMerge w:val="continue"/>
            <w:vAlign w:val="center"/>
          </w:tcPr>
          <w:p w14:paraId="76032D9B">
            <w:pPr>
              <w:widowControl/>
              <w:spacing w:line="320" w:lineRule="exact"/>
              <w:rPr>
                <w:rFonts w:hint="eastAsia" w:ascii="仿宋" w:hAnsi="仿宋" w:eastAsia="仿宋"/>
              </w:rPr>
            </w:pPr>
          </w:p>
        </w:tc>
        <w:tc>
          <w:tcPr>
            <w:tcW w:w="803" w:type="dxa"/>
            <w:vMerge w:val="continue"/>
            <w:vAlign w:val="center"/>
          </w:tcPr>
          <w:p w14:paraId="72F983FF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6949D508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708" w:type="dxa"/>
            <w:vAlign w:val="center"/>
          </w:tcPr>
          <w:p w14:paraId="507E7670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5</w:t>
            </w:r>
          </w:p>
        </w:tc>
        <w:tc>
          <w:tcPr>
            <w:tcW w:w="6128" w:type="dxa"/>
            <w:vAlign w:val="center"/>
          </w:tcPr>
          <w:p w14:paraId="1E927B0F">
            <w:pPr>
              <w:widowControl/>
              <w:spacing w:line="32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服务商提供的服务承诺和保障措施严密、针对性强、切实可行得</w:t>
            </w:r>
            <w:r>
              <w:rPr>
                <w:rFonts w:ascii="仿宋" w:hAnsi="仿宋" w:eastAsia="仿宋"/>
              </w:rPr>
              <w:t>5</w:t>
            </w:r>
            <w:r>
              <w:rPr>
                <w:rFonts w:hint="eastAsia" w:ascii="仿宋" w:hAnsi="仿宋" w:eastAsia="仿宋"/>
              </w:rPr>
              <w:t>分；投标人提供的服务承诺和保障措施合理、基本可行得2分；投标人提供的服务承诺和保障措施不合理、不可行或未提供得0分。</w:t>
            </w:r>
          </w:p>
        </w:tc>
      </w:tr>
      <w:tr w14:paraId="35F557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9341" w:type="dxa"/>
            <w:gridSpan w:val="6"/>
            <w:vAlign w:val="center"/>
          </w:tcPr>
          <w:p w14:paraId="1563EFDB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合计  100分</w:t>
            </w:r>
          </w:p>
        </w:tc>
      </w:tr>
    </w:tbl>
    <w:p w14:paraId="34DAAB05">
      <w:pPr>
        <w:rPr>
          <w:rFonts w:hint="eastAsia" w:ascii="仿宋" w:hAnsi="仿宋" w:eastAsia="仿宋"/>
          <w:szCs w:val="32"/>
        </w:rPr>
      </w:pPr>
    </w:p>
    <w:sectPr>
      <w:headerReference r:id="rId5" w:type="default"/>
      <w:footerReference r:id="rId6" w:type="default"/>
      <w:pgSz w:w="11906" w:h="16838"/>
      <w:pgMar w:top="1440" w:right="1701" w:bottom="1440" w:left="1701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4345824"/>
    </w:sdtPr>
    <w:sdtEndPr>
      <w:rPr>
        <w:sz w:val="21"/>
        <w:szCs w:val="21"/>
      </w:rPr>
    </w:sdtEndPr>
    <w:sdtContent>
      <w:p w14:paraId="165886A1">
        <w:pPr>
          <w:pStyle w:val="11"/>
          <w:jc w:val="center"/>
          <w:rPr>
            <w:rFonts w:hint="eastAsia"/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6</w:t>
        </w:r>
        <w:r>
          <w:rPr>
            <w:sz w:val="21"/>
            <w:szCs w:val="21"/>
          </w:rPr>
          <w:fldChar w:fldCharType="end"/>
        </w:r>
        <w:r>
          <w:rPr>
            <w:sz w:val="21"/>
            <w:szCs w:val="21"/>
          </w:rPr>
          <w:t xml:space="preserve"> </w:t>
        </w:r>
        <w:r>
          <w:rPr>
            <w:rFonts w:hint="eastAsia"/>
            <w:sz w:val="21"/>
            <w:szCs w:val="21"/>
          </w:rPr>
          <w:t>/</w:t>
        </w:r>
        <w:r>
          <w:rPr>
            <w:sz w:val="21"/>
            <w:szCs w:val="21"/>
          </w:rPr>
          <w:t xml:space="preserve"> </w:t>
        </w: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 SECTIONPAGES  \* Arabic  \* MERGEFORMAT </w:instrText>
        </w:r>
        <w:r>
          <w:rPr>
            <w:sz w:val="21"/>
            <w:szCs w:val="21"/>
          </w:rPr>
          <w:fldChar w:fldCharType="separate"/>
        </w:r>
        <w:r>
          <w:rPr>
            <w:rFonts w:hint="eastAsia"/>
            <w:sz w:val="21"/>
            <w:szCs w:val="21"/>
          </w:rPr>
          <w:t>6</w:t>
        </w:r>
        <w:r>
          <w:rPr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D02CB">
    <w:pPr>
      <w:pStyle w:val="12"/>
      <w:pBdr>
        <w:bottom w:val="none" w:color="auto" w:sz="0" w:space="0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8D56CD"/>
    <w:multiLevelType w:val="multilevel"/>
    <w:tmpl w:val="0B8D56CD"/>
    <w:lvl w:ilvl="0" w:tentative="0">
      <w:start w:val="1"/>
      <w:numFmt w:val="chineseCountingThousand"/>
      <w:pStyle w:val="2"/>
      <w:suff w:val="nothing"/>
      <w:lvlText w:val="第%1章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pStyle w:val="3"/>
      <w:suff w:val="nothing"/>
      <w:lvlText w:val="%2、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isLgl/>
      <w:suff w:val="space"/>
      <w:lvlText w:val="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4A3E7A44"/>
    <w:multiLevelType w:val="multilevel"/>
    <w:tmpl w:val="4A3E7A44"/>
    <w:lvl w:ilvl="0" w:tentative="0">
      <w:start w:val="1"/>
      <w:numFmt w:val="chineseCountingThousand"/>
      <w:suff w:val="space"/>
      <w:lvlText w:val="第%1章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27"/>
      <w:isLgl/>
      <w:suff w:val="space"/>
      <w:lvlText w:val="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dlZWQwNmJhNjlhYWMwNTk2ODRjMWUwMjdkMmZhYjQifQ=="/>
  </w:docVars>
  <w:rsids>
    <w:rsidRoot w:val="00816D5F"/>
    <w:rsid w:val="0000011D"/>
    <w:rsid w:val="00001B46"/>
    <w:rsid w:val="00003097"/>
    <w:rsid w:val="000045ED"/>
    <w:rsid w:val="0000566B"/>
    <w:rsid w:val="0000573A"/>
    <w:rsid w:val="0000617C"/>
    <w:rsid w:val="00010434"/>
    <w:rsid w:val="0001566C"/>
    <w:rsid w:val="00015DAC"/>
    <w:rsid w:val="0002098D"/>
    <w:rsid w:val="00020BCF"/>
    <w:rsid w:val="00021A31"/>
    <w:rsid w:val="00025D39"/>
    <w:rsid w:val="00026A89"/>
    <w:rsid w:val="000329D6"/>
    <w:rsid w:val="00035D79"/>
    <w:rsid w:val="00043F29"/>
    <w:rsid w:val="00046D46"/>
    <w:rsid w:val="00047B19"/>
    <w:rsid w:val="00056355"/>
    <w:rsid w:val="000564B6"/>
    <w:rsid w:val="000567DD"/>
    <w:rsid w:val="00057063"/>
    <w:rsid w:val="000604E4"/>
    <w:rsid w:val="00060BE6"/>
    <w:rsid w:val="00065EC5"/>
    <w:rsid w:val="00066771"/>
    <w:rsid w:val="00066A12"/>
    <w:rsid w:val="000674AC"/>
    <w:rsid w:val="00070BDA"/>
    <w:rsid w:val="00075109"/>
    <w:rsid w:val="000771CD"/>
    <w:rsid w:val="00077B41"/>
    <w:rsid w:val="00081312"/>
    <w:rsid w:val="0008327C"/>
    <w:rsid w:val="00086F44"/>
    <w:rsid w:val="00087BD4"/>
    <w:rsid w:val="0009042A"/>
    <w:rsid w:val="00097371"/>
    <w:rsid w:val="00097E61"/>
    <w:rsid w:val="000A13DB"/>
    <w:rsid w:val="000A2B3F"/>
    <w:rsid w:val="000A3814"/>
    <w:rsid w:val="000A454D"/>
    <w:rsid w:val="000B00FF"/>
    <w:rsid w:val="000B0B08"/>
    <w:rsid w:val="000B244D"/>
    <w:rsid w:val="000B6E2E"/>
    <w:rsid w:val="000B706A"/>
    <w:rsid w:val="000C1740"/>
    <w:rsid w:val="000C2926"/>
    <w:rsid w:val="000C6FED"/>
    <w:rsid w:val="000C75EB"/>
    <w:rsid w:val="000D1E17"/>
    <w:rsid w:val="000D3DA6"/>
    <w:rsid w:val="000D4D93"/>
    <w:rsid w:val="000D6C4C"/>
    <w:rsid w:val="000D7382"/>
    <w:rsid w:val="000E06AC"/>
    <w:rsid w:val="000E093E"/>
    <w:rsid w:val="000E09C1"/>
    <w:rsid w:val="000E2B9A"/>
    <w:rsid w:val="000E368B"/>
    <w:rsid w:val="000E79A0"/>
    <w:rsid w:val="000F130F"/>
    <w:rsid w:val="000F327B"/>
    <w:rsid w:val="000F3855"/>
    <w:rsid w:val="000F6F26"/>
    <w:rsid w:val="00100E0D"/>
    <w:rsid w:val="0010202A"/>
    <w:rsid w:val="0010384D"/>
    <w:rsid w:val="00103915"/>
    <w:rsid w:val="0010555F"/>
    <w:rsid w:val="001067C6"/>
    <w:rsid w:val="00106CF6"/>
    <w:rsid w:val="0010710E"/>
    <w:rsid w:val="00110326"/>
    <w:rsid w:val="00110873"/>
    <w:rsid w:val="00111AC6"/>
    <w:rsid w:val="00116702"/>
    <w:rsid w:val="00117B92"/>
    <w:rsid w:val="00120146"/>
    <w:rsid w:val="0012137A"/>
    <w:rsid w:val="00123005"/>
    <w:rsid w:val="00132E4D"/>
    <w:rsid w:val="00132FF8"/>
    <w:rsid w:val="001363B0"/>
    <w:rsid w:val="001369E8"/>
    <w:rsid w:val="00136B2E"/>
    <w:rsid w:val="00140773"/>
    <w:rsid w:val="001414E5"/>
    <w:rsid w:val="00146F88"/>
    <w:rsid w:val="001477D6"/>
    <w:rsid w:val="00150199"/>
    <w:rsid w:val="00150573"/>
    <w:rsid w:val="00153DF2"/>
    <w:rsid w:val="00156581"/>
    <w:rsid w:val="00156848"/>
    <w:rsid w:val="0016644C"/>
    <w:rsid w:val="00171C2C"/>
    <w:rsid w:val="00172604"/>
    <w:rsid w:val="00175298"/>
    <w:rsid w:val="00177A8F"/>
    <w:rsid w:val="001806A5"/>
    <w:rsid w:val="00181798"/>
    <w:rsid w:val="00182A77"/>
    <w:rsid w:val="00183017"/>
    <w:rsid w:val="001858EF"/>
    <w:rsid w:val="00194456"/>
    <w:rsid w:val="00194A58"/>
    <w:rsid w:val="00197FA6"/>
    <w:rsid w:val="001A00E5"/>
    <w:rsid w:val="001A0F48"/>
    <w:rsid w:val="001A1536"/>
    <w:rsid w:val="001A246C"/>
    <w:rsid w:val="001A7C72"/>
    <w:rsid w:val="001B0993"/>
    <w:rsid w:val="001B2048"/>
    <w:rsid w:val="001B2B54"/>
    <w:rsid w:val="001B48A7"/>
    <w:rsid w:val="001B70E6"/>
    <w:rsid w:val="001C3C99"/>
    <w:rsid w:val="001C3E69"/>
    <w:rsid w:val="001C7524"/>
    <w:rsid w:val="001D1691"/>
    <w:rsid w:val="001D2240"/>
    <w:rsid w:val="001D24C8"/>
    <w:rsid w:val="001D3064"/>
    <w:rsid w:val="001D403A"/>
    <w:rsid w:val="001D4BA1"/>
    <w:rsid w:val="001D5D58"/>
    <w:rsid w:val="001D650F"/>
    <w:rsid w:val="001D6A9E"/>
    <w:rsid w:val="001D711B"/>
    <w:rsid w:val="001E0C16"/>
    <w:rsid w:val="001E2035"/>
    <w:rsid w:val="001E3C2B"/>
    <w:rsid w:val="001E4003"/>
    <w:rsid w:val="001E48BE"/>
    <w:rsid w:val="001E4D5F"/>
    <w:rsid w:val="001E4D9D"/>
    <w:rsid w:val="001F1AFE"/>
    <w:rsid w:val="001F2958"/>
    <w:rsid w:val="001F5C82"/>
    <w:rsid w:val="001F5FD3"/>
    <w:rsid w:val="001F70A2"/>
    <w:rsid w:val="001F7BEA"/>
    <w:rsid w:val="00200FA7"/>
    <w:rsid w:val="0020379B"/>
    <w:rsid w:val="00206E87"/>
    <w:rsid w:val="0021043D"/>
    <w:rsid w:val="00212BC7"/>
    <w:rsid w:val="00223D3A"/>
    <w:rsid w:val="0022678F"/>
    <w:rsid w:val="00226EAB"/>
    <w:rsid w:val="00227CC5"/>
    <w:rsid w:val="00230302"/>
    <w:rsid w:val="00234087"/>
    <w:rsid w:val="00235889"/>
    <w:rsid w:val="00244D18"/>
    <w:rsid w:val="00245A57"/>
    <w:rsid w:val="0024670C"/>
    <w:rsid w:val="002531EA"/>
    <w:rsid w:val="0025655C"/>
    <w:rsid w:val="00263716"/>
    <w:rsid w:val="002659F4"/>
    <w:rsid w:val="002661EC"/>
    <w:rsid w:val="00267136"/>
    <w:rsid w:val="002721B1"/>
    <w:rsid w:val="00272413"/>
    <w:rsid w:val="002739D1"/>
    <w:rsid w:val="00274910"/>
    <w:rsid w:val="002822C4"/>
    <w:rsid w:val="00283420"/>
    <w:rsid w:val="00286B6A"/>
    <w:rsid w:val="00286EA2"/>
    <w:rsid w:val="00294B25"/>
    <w:rsid w:val="002A1D99"/>
    <w:rsid w:val="002A245A"/>
    <w:rsid w:val="002A292F"/>
    <w:rsid w:val="002A3BDF"/>
    <w:rsid w:val="002A5469"/>
    <w:rsid w:val="002B3796"/>
    <w:rsid w:val="002B3F6C"/>
    <w:rsid w:val="002B6259"/>
    <w:rsid w:val="002C40BC"/>
    <w:rsid w:val="002D091F"/>
    <w:rsid w:val="002D26DD"/>
    <w:rsid w:val="002D4D4F"/>
    <w:rsid w:val="002D5519"/>
    <w:rsid w:val="002D71FC"/>
    <w:rsid w:val="002E3211"/>
    <w:rsid w:val="002E37C9"/>
    <w:rsid w:val="002E3B92"/>
    <w:rsid w:val="002F0069"/>
    <w:rsid w:val="002F1278"/>
    <w:rsid w:val="002F21B4"/>
    <w:rsid w:val="002F3346"/>
    <w:rsid w:val="002F344B"/>
    <w:rsid w:val="003067F0"/>
    <w:rsid w:val="003102EE"/>
    <w:rsid w:val="00311AFA"/>
    <w:rsid w:val="0031519F"/>
    <w:rsid w:val="00315E7A"/>
    <w:rsid w:val="00321C0E"/>
    <w:rsid w:val="00322B4B"/>
    <w:rsid w:val="00324E04"/>
    <w:rsid w:val="00325751"/>
    <w:rsid w:val="00330438"/>
    <w:rsid w:val="00334A62"/>
    <w:rsid w:val="00334E48"/>
    <w:rsid w:val="00336C59"/>
    <w:rsid w:val="0034152E"/>
    <w:rsid w:val="003415F9"/>
    <w:rsid w:val="00342F64"/>
    <w:rsid w:val="00345EA1"/>
    <w:rsid w:val="00346428"/>
    <w:rsid w:val="00351D5A"/>
    <w:rsid w:val="003527F8"/>
    <w:rsid w:val="00354B21"/>
    <w:rsid w:val="00360F27"/>
    <w:rsid w:val="00370E4F"/>
    <w:rsid w:val="00371855"/>
    <w:rsid w:val="00372790"/>
    <w:rsid w:val="00375370"/>
    <w:rsid w:val="003757DE"/>
    <w:rsid w:val="00376D66"/>
    <w:rsid w:val="003779C1"/>
    <w:rsid w:val="0038079A"/>
    <w:rsid w:val="00380C4B"/>
    <w:rsid w:val="00382D76"/>
    <w:rsid w:val="003907CB"/>
    <w:rsid w:val="00393C48"/>
    <w:rsid w:val="00393CB7"/>
    <w:rsid w:val="003958BE"/>
    <w:rsid w:val="003A10CE"/>
    <w:rsid w:val="003A7DC2"/>
    <w:rsid w:val="003B1B16"/>
    <w:rsid w:val="003B2B78"/>
    <w:rsid w:val="003B2D4E"/>
    <w:rsid w:val="003B4A18"/>
    <w:rsid w:val="003B7844"/>
    <w:rsid w:val="003C0052"/>
    <w:rsid w:val="003C14AF"/>
    <w:rsid w:val="003C2312"/>
    <w:rsid w:val="003C5A8D"/>
    <w:rsid w:val="003C686A"/>
    <w:rsid w:val="003D2A8F"/>
    <w:rsid w:val="003D5B20"/>
    <w:rsid w:val="003E046B"/>
    <w:rsid w:val="003E5701"/>
    <w:rsid w:val="003E5C46"/>
    <w:rsid w:val="003E5FFB"/>
    <w:rsid w:val="003E633E"/>
    <w:rsid w:val="003E711D"/>
    <w:rsid w:val="003F21E9"/>
    <w:rsid w:val="003F3B39"/>
    <w:rsid w:val="00401C97"/>
    <w:rsid w:val="004024FC"/>
    <w:rsid w:val="00403937"/>
    <w:rsid w:val="0040485B"/>
    <w:rsid w:val="004107B8"/>
    <w:rsid w:val="004114FA"/>
    <w:rsid w:val="00412E2C"/>
    <w:rsid w:val="0041517A"/>
    <w:rsid w:val="00415BBB"/>
    <w:rsid w:val="00416113"/>
    <w:rsid w:val="00425BB9"/>
    <w:rsid w:val="00425EB7"/>
    <w:rsid w:val="004319C3"/>
    <w:rsid w:val="00433783"/>
    <w:rsid w:val="00440A75"/>
    <w:rsid w:val="004433D6"/>
    <w:rsid w:val="00443841"/>
    <w:rsid w:val="004544F3"/>
    <w:rsid w:val="004573B3"/>
    <w:rsid w:val="00460780"/>
    <w:rsid w:val="0046332E"/>
    <w:rsid w:val="00464C7E"/>
    <w:rsid w:val="004717FA"/>
    <w:rsid w:val="00471D50"/>
    <w:rsid w:val="004746BE"/>
    <w:rsid w:val="00476992"/>
    <w:rsid w:val="00480D04"/>
    <w:rsid w:val="004827DC"/>
    <w:rsid w:val="00483710"/>
    <w:rsid w:val="00485A27"/>
    <w:rsid w:val="00485A54"/>
    <w:rsid w:val="00485FB4"/>
    <w:rsid w:val="004863C6"/>
    <w:rsid w:val="00486B3E"/>
    <w:rsid w:val="00487435"/>
    <w:rsid w:val="00487CC5"/>
    <w:rsid w:val="00490B32"/>
    <w:rsid w:val="00494BFE"/>
    <w:rsid w:val="00496C9F"/>
    <w:rsid w:val="00496E16"/>
    <w:rsid w:val="004A3496"/>
    <w:rsid w:val="004A51BF"/>
    <w:rsid w:val="004A5593"/>
    <w:rsid w:val="004B2E68"/>
    <w:rsid w:val="004B4835"/>
    <w:rsid w:val="004B5E5E"/>
    <w:rsid w:val="004C6EAF"/>
    <w:rsid w:val="004C72E7"/>
    <w:rsid w:val="004D1883"/>
    <w:rsid w:val="004D2A0C"/>
    <w:rsid w:val="004D4595"/>
    <w:rsid w:val="004D5DE1"/>
    <w:rsid w:val="004D6B06"/>
    <w:rsid w:val="004D724A"/>
    <w:rsid w:val="004D7615"/>
    <w:rsid w:val="004D7A94"/>
    <w:rsid w:val="004D7CF8"/>
    <w:rsid w:val="004E50EE"/>
    <w:rsid w:val="004E517A"/>
    <w:rsid w:val="004E7A77"/>
    <w:rsid w:val="004F10BA"/>
    <w:rsid w:val="004F1DAB"/>
    <w:rsid w:val="004F31B2"/>
    <w:rsid w:val="004F6CBC"/>
    <w:rsid w:val="005022B5"/>
    <w:rsid w:val="00504F23"/>
    <w:rsid w:val="005110B9"/>
    <w:rsid w:val="00514E5A"/>
    <w:rsid w:val="005159AE"/>
    <w:rsid w:val="0051725B"/>
    <w:rsid w:val="005173B0"/>
    <w:rsid w:val="005217CD"/>
    <w:rsid w:val="00521833"/>
    <w:rsid w:val="00521B57"/>
    <w:rsid w:val="00523F64"/>
    <w:rsid w:val="005249F3"/>
    <w:rsid w:val="00525E9B"/>
    <w:rsid w:val="00536CD7"/>
    <w:rsid w:val="00543DC5"/>
    <w:rsid w:val="00546186"/>
    <w:rsid w:val="00546221"/>
    <w:rsid w:val="0054682D"/>
    <w:rsid w:val="00546E92"/>
    <w:rsid w:val="00550D0A"/>
    <w:rsid w:val="00557BE1"/>
    <w:rsid w:val="0056032D"/>
    <w:rsid w:val="00561330"/>
    <w:rsid w:val="00563056"/>
    <w:rsid w:val="00571D2A"/>
    <w:rsid w:val="00573F4D"/>
    <w:rsid w:val="00576FE2"/>
    <w:rsid w:val="00584B6E"/>
    <w:rsid w:val="00586575"/>
    <w:rsid w:val="00587026"/>
    <w:rsid w:val="005909D7"/>
    <w:rsid w:val="00594CD3"/>
    <w:rsid w:val="00596074"/>
    <w:rsid w:val="005A0838"/>
    <w:rsid w:val="005A746A"/>
    <w:rsid w:val="005B0B16"/>
    <w:rsid w:val="005B6F4D"/>
    <w:rsid w:val="005C128F"/>
    <w:rsid w:val="005C38EB"/>
    <w:rsid w:val="005C3B35"/>
    <w:rsid w:val="005C5B9A"/>
    <w:rsid w:val="005C6446"/>
    <w:rsid w:val="005C743C"/>
    <w:rsid w:val="005D317D"/>
    <w:rsid w:val="005D5780"/>
    <w:rsid w:val="005D63B1"/>
    <w:rsid w:val="005D6A07"/>
    <w:rsid w:val="005E00D9"/>
    <w:rsid w:val="005E0142"/>
    <w:rsid w:val="005E01B2"/>
    <w:rsid w:val="005E14B8"/>
    <w:rsid w:val="005E5151"/>
    <w:rsid w:val="005F6B56"/>
    <w:rsid w:val="005F772A"/>
    <w:rsid w:val="006010F4"/>
    <w:rsid w:val="006024F3"/>
    <w:rsid w:val="00603067"/>
    <w:rsid w:val="00603536"/>
    <w:rsid w:val="00603587"/>
    <w:rsid w:val="00605574"/>
    <w:rsid w:val="0061080C"/>
    <w:rsid w:val="00610FEB"/>
    <w:rsid w:val="0061538F"/>
    <w:rsid w:val="0062243A"/>
    <w:rsid w:val="00623555"/>
    <w:rsid w:val="006249A6"/>
    <w:rsid w:val="00630223"/>
    <w:rsid w:val="00631755"/>
    <w:rsid w:val="006329C9"/>
    <w:rsid w:val="00635A8D"/>
    <w:rsid w:val="00635F24"/>
    <w:rsid w:val="00636309"/>
    <w:rsid w:val="006370AC"/>
    <w:rsid w:val="00640584"/>
    <w:rsid w:val="00640F5F"/>
    <w:rsid w:val="006428F3"/>
    <w:rsid w:val="00642A30"/>
    <w:rsid w:val="00642E6D"/>
    <w:rsid w:val="00644CDD"/>
    <w:rsid w:val="00650756"/>
    <w:rsid w:val="00655C5B"/>
    <w:rsid w:val="00656575"/>
    <w:rsid w:val="00660F65"/>
    <w:rsid w:val="00662A10"/>
    <w:rsid w:val="006641E7"/>
    <w:rsid w:val="006668FA"/>
    <w:rsid w:val="00667CD0"/>
    <w:rsid w:val="00667F68"/>
    <w:rsid w:val="00671433"/>
    <w:rsid w:val="00671CB3"/>
    <w:rsid w:val="00671F13"/>
    <w:rsid w:val="00672246"/>
    <w:rsid w:val="006738D2"/>
    <w:rsid w:val="006750BD"/>
    <w:rsid w:val="006818DA"/>
    <w:rsid w:val="00681DC2"/>
    <w:rsid w:val="00682946"/>
    <w:rsid w:val="00690B0C"/>
    <w:rsid w:val="006976F1"/>
    <w:rsid w:val="006A0DA7"/>
    <w:rsid w:val="006A5770"/>
    <w:rsid w:val="006A6448"/>
    <w:rsid w:val="006B4DC9"/>
    <w:rsid w:val="006B60BB"/>
    <w:rsid w:val="006B6E53"/>
    <w:rsid w:val="006C21B5"/>
    <w:rsid w:val="006C2B24"/>
    <w:rsid w:val="006C2CBC"/>
    <w:rsid w:val="006C4896"/>
    <w:rsid w:val="006C7368"/>
    <w:rsid w:val="006D1A2A"/>
    <w:rsid w:val="006D57C3"/>
    <w:rsid w:val="006E01AB"/>
    <w:rsid w:val="006E179E"/>
    <w:rsid w:val="006E1C7C"/>
    <w:rsid w:val="006E2D5E"/>
    <w:rsid w:val="006F356C"/>
    <w:rsid w:val="006F3A21"/>
    <w:rsid w:val="006F40AE"/>
    <w:rsid w:val="00702261"/>
    <w:rsid w:val="00703233"/>
    <w:rsid w:val="00705431"/>
    <w:rsid w:val="00705D0B"/>
    <w:rsid w:val="00707489"/>
    <w:rsid w:val="0071121A"/>
    <w:rsid w:val="007140BB"/>
    <w:rsid w:val="00720924"/>
    <w:rsid w:val="00722143"/>
    <w:rsid w:val="0072327C"/>
    <w:rsid w:val="00723787"/>
    <w:rsid w:val="007314A1"/>
    <w:rsid w:val="007327D2"/>
    <w:rsid w:val="00735672"/>
    <w:rsid w:val="0073592F"/>
    <w:rsid w:val="00735E29"/>
    <w:rsid w:val="00736A38"/>
    <w:rsid w:val="00740627"/>
    <w:rsid w:val="00740C97"/>
    <w:rsid w:val="00744966"/>
    <w:rsid w:val="00746DEE"/>
    <w:rsid w:val="00753472"/>
    <w:rsid w:val="007547D8"/>
    <w:rsid w:val="007619F5"/>
    <w:rsid w:val="00761C71"/>
    <w:rsid w:val="00770729"/>
    <w:rsid w:val="00772B94"/>
    <w:rsid w:val="00774122"/>
    <w:rsid w:val="007746F3"/>
    <w:rsid w:val="007754BA"/>
    <w:rsid w:val="0077604D"/>
    <w:rsid w:val="0077694A"/>
    <w:rsid w:val="00777E0A"/>
    <w:rsid w:val="00780A13"/>
    <w:rsid w:val="0078176F"/>
    <w:rsid w:val="00783491"/>
    <w:rsid w:val="0078424A"/>
    <w:rsid w:val="00785140"/>
    <w:rsid w:val="00786D0C"/>
    <w:rsid w:val="00792AC9"/>
    <w:rsid w:val="007946C4"/>
    <w:rsid w:val="007951F1"/>
    <w:rsid w:val="00797189"/>
    <w:rsid w:val="007972D9"/>
    <w:rsid w:val="007A1365"/>
    <w:rsid w:val="007A465B"/>
    <w:rsid w:val="007A4935"/>
    <w:rsid w:val="007A6CFC"/>
    <w:rsid w:val="007A6FD3"/>
    <w:rsid w:val="007B2592"/>
    <w:rsid w:val="007B3185"/>
    <w:rsid w:val="007B31D9"/>
    <w:rsid w:val="007B67F0"/>
    <w:rsid w:val="007B78DB"/>
    <w:rsid w:val="007C1B4F"/>
    <w:rsid w:val="007C24FE"/>
    <w:rsid w:val="007C6C8E"/>
    <w:rsid w:val="007C7B2B"/>
    <w:rsid w:val="007D06E7"/>
    <w:rsid w:val="007D4F17"/>
    <w:rsid w:val="007D68CB"/>
    <w:rsid w:val="007D7E9E"/>
    <w:rsid w:val="007E13CA"/>
    <w:rsid w:val="007E535D"/>
    <w:rsid w:val="007E749B"/>
    <w:rsid w:val="007E7EBB"/>
    <w:rsid w:val="007F149E"/>
    <w:rsid w:val="007F664F"/>
    <w:rsid w:val="00802E72"/>
    <w:rsid w:val="00803341"/>
    <w:rsid w:val="0080395C"/>
    <w:rsid w:val="00803F52"/>
    <w:rsid w:val="008047E0"/>
    <w:rsid w:val="00804894"/>
    <w:rsid w:val="00806B4A"/>
    <w:rsid w:val="0080721E"/>
    <w:rsid w:val="00810280"/>
    <w:rsid w:val="00810961"/>
    <w:rsid w:val="00812995"/>
    <w:rsid w:val="008167D0"/>
    <w:rsid w:val="0081685A"/>
    <w:rsid w:val="008169EA"/>
    <w:rsid w:val="00816A1B"/>
    <w:rsid w:val="00816D5F"/>
    <w:rsid w:val="0082053A"/>
    <w:rsid w:val="00820615"/>
    <w:rsid w:val="0082231E"/>
    <w:rsid w:val="00823019"/>
    <w:rsid w:val="00823CBF"/>
    <w:rsid w:val="00824FC6"/>
    <w:rsid w:val="008255D8"/>
    <w:rsid w:val="008269D0"/>
    <w:rsid w:val="008300B8"/>
    <w:rsid w:val="0083318A"/>
    <w:rsid w:val="008350D0"/>
    <w:rsid w:val="00835439"/>
    <w:rsid w:val="00841714"/>
    <w:rsid w:val="008421F1"/>
    <w:rsid w:val="00844651"/>
    <w:rsid w:val="008457B9"/>
    <w:rsid w:val="008457CF"/>
    <w:rsid w:val="00852495"/>
    <w:rsid w:val="0085324D"/>
    <w:rsid w:val="00854343"/>
    <w:rsid w:val="00855AC1"/>
    <w:rsid w:val="00856613"/>
    <w:rsid w:val="00865948"/>
    <w:rsid w:val="00865AE5"/>
    <w:rsid w:val="00870DAC"/>
    <w:rsid w:val="00871A96"/>
    <w:rsid w:val="00871AE4"/>
    <w:rsid w:val="008769FD"/>
    <w:rsid w:val="008834AB"/>
    <w:rsid w:val="00883803"/>
    <w:rsid w:val="008847CD"/>
    <w:rsid w:val="00884871"/>
    <w:rsid w:val="00887C70"/>
    <w:rsid w:val="00890FF8"/>
    <w:rsid w:val="008910A1"/>
    <w:rsid w:val="00895CB0"/>
    <w:rsid w:val="008977F2"/>
    <w:rsid w:val="008A0DF2"/>
    <w:rsid w:val="008A4D0B"/>
    <w:rsid w:val="008B103C"/>
    <w:rsid w:val="008B131A"/>
    <w:rsid w:val="008C067E"/>
    <w:rsid w:val="008C28AB"/>
    <w:rsid w:val="008C4084"/>
    <w:rsid w:val="008C702B"/>
    <w:rsid w:val="008D0783"/>
    <w:rsid w:val="008D509C"/>
    <w:rsid w:val="008D6870"/>
    <w:rsid w:val="008D795A"/>
    <w:rsid w:val="008E086F"/>
    <w:rsid w:val="008F094B"/>
    <w:rsid w:val="008F3AAC"/>
    <w:rsid w:val="008F574D"/>
    <w:rsid w:val="008F6E64"/>
    <w:rsid w:val="0090169A"/>
    <w:rsid w:val="00901DB7"/>
    <w:rsid w:val="00906B9C"/>
    <w:rsid w:val="00907658"/>
    <w:rsid w:val="00907866"/>
    <w:rsid w:val="0091749A"/>
    <w:rsid w:val="009203B7"/>
    <w:rsid w:val="00921F04"/>
    <w:rsid w:val="0092340A"/>
    <w:rsid w:val="009256A8"/>
    <w:rsid w:val="0093068A"/>
    <w:rsid w:val="00931316"/>
    <w:rsid w:val="0093217B"/>
    <w:rsid w:val="009346F6"/>
    <w:rsid w:val="0093749F"/>
    <w:rsid w:val="00940737"/>
    <w:rsid w:val="0094704F"/>
    <w:rsid w:val="00947614"/>
    <w:rsid w:val="00953D4A"/>
    <w:rsid w:val="0095713A"/>
    <w:rsid w:val="009610CE"/>
    <w:rsid w:val="009621DB"/>
    <w:rsid w:val="0096289A"/>
    <w:rsid w:val="009653A0"/>
    <w:rsid w:val="00965E7E"/>
    <w:rsid w:val="0096609C"/>
    <w:rsid w:val="00966B40"/>
    <w:rsid w:val="00967889"/>
    <w:rsid w:val="00974D90"/>
    <w:rsid w:val="00975D62"/>
    <w:rsid w:val="00976CB2"/>
    <w:rsid w:val="0098016A"/>
    <w:rsid w:val="00983AA0"/>
    <w:rsid w:val="00985D7A"/>
    <w:rsid w:val="00991665"/>
    <w:rsid w:val="00992CC1"/>
    <w:rsid w:val="00992D08"/>
    <w:rsid w:val="009A1346"/>
    <w:rsid w:val="009A1F24"/>
    <w:rsid w:val="009B07F3"/>
    <w:rsid w:val="009B55FC"/>
    <w:rsid w:val="009B570F"/>
    <w:rsid w:val="009B6F80"/>
    <w:rsid w:val="009C0188"/>
    <w:rsid w:val="009C01D2"/>
    <w:rsid w:val="009C47A6"/>
    <w:rsid w:val="009C5F13"/>
    <w:rsid w:val="009C7358"/>
    <w:rsid w:val="009C75EE"/>
    <w:rsid w:val="009D2A1E"/>
    <w:rsid w:val="009D41DD"/>
    <w:rsid w:val="009D691F"/>
    <w:rsid w:val="009D6FAF"/>
    <w:rsid w:val="009E3D3B"/>
    <w:rsid w:val="009E3ED1"/>
    <w:rsid w:val="009E57F2"/>
    <w:rsid w:val="009E59D6"/>
    <w:rsid w:val="009E5A2E"/>
    <w:rsid w:val="009E649A"/>
    <w:rsid w:val="009E7580"/>
    <w:rsid w:val="009E7BE1"/>
    <w:rsid w:val="009F1272"/>
    <w:rsid w:val="009F4D36"/>
    <w:rsid w:val="009F74BA"/>
    <w:rsid w:val="00A03DF0"/>
    <w:rsid w:val="00A11FF9"/>
    <w:rsid w:val="00A1463E"/>
    <w:rsid w:val="00A14FA3"/>
    <w:rsid w:val="00A2104D"/>
    <w:rsid w:val="00A21A91"/>
    <w:rsid w:val="00A237BD"/>
    <w:rsid w:val="00A23D93"/>
    <w:rsid w:val="00A30017"/>
    <w:rsid w:val="00A30082"/>
    <w:rsid w:val="00A3175D"/>
    <w:rsid w:val="00A319F6"/>
    <w:rsid w:val="00A33AC2"/>
    <w:rsid w:val="00A363BA"/>
    <w:rsid w:val="00A415CE"/>
    <w:rsid w:val="00A42155"/>
    <w:rsid w:val="00A4531C"/>
    <w:rsid w:val="00A50199"/>
    <w:rsid w:val="00A53EFA"/>
    <w:rsid w:val="00A54B52"/>
    <w:rsid w:val="00A54FE3"/>
    <w:rsid w:val="00A55CEB"/>
    <w:rsid w:val="00A64C74"/>
    <w:rsid w:val="00A720B7"/>
    <w:rsid w:val="00A76DAA"/>
    <w:rsid w:val="00A76EC2"/>
    <w:rsid w:val="00A773C6"/>
    <w:rsid w:val="00A843FA"/>
    <w:rsid w:val="00A85380"/>
    <w:rsid w:val="00A8546E"/>
    <w:rsid w:val="00A90DE5"/>
    <w:rsid w:val="00A92FCF"/>
    <w:rsid w:val="00A97F7A"/>
    <w:rsid w:val="00AA07FA"/>
    <w:rsid w:val="00AA2758"/>
    <w:rsid w:val="00AA7027"/>
    <w:rsid w:val="00AA7ED3"/>
    <w:rsid w:val="00AB0691"/>
    <w:rsid w:val="00AB6C63"/>
    <w:rsid w:val="00AC0E78"/>
    <w:rsid w:val="00AC68E2"/>
    <w:rsid w:val="00AD1ECB"/>
    <w:rsid w:val="00AD440B"/>
    <w:rsid w:val="00AD5601"/>
    <w:rsid w:val="00AD62B2"/>
    <w:rsid w:val="00AD6B21"/>
    <w:rsid w:val="00AE01C3"/>
    <w:rsid w:val="00AE0B0A"/>
    <w:rsid w:val="00AE1180"/>
    <w:rsid w:val="00AE3654"/>
    <w:rsid w:val="00AE3A64"/>
    <w:rsid w:val="00AE401B"/>
    <w:rsid w:val="00AE4615"/>
    <w:rsid w:val="00AE4F0D"/>
    <w:rsid w:val="00AE5A7C"/>
    <w:rsid w:val="00AE5FF7"/>
    <w:rsid w:val="00AF3E1C"/>
    <w:rsid w:val="00AF44ED"/>
    <w:rsid w:val="00AF47B4"/>
    <w:rsid w:val="00AF6F95"/>
    <w:rsid w:val="00B01C01"/>
    <w:rsid w:val="00B034C9"/>
    <w:rsid w:val="00B0369E"/>
    <w:rsid w:val="00B05AC3"/>
    <w:rsid w:val="00B06250"/>
    <w:rsid w:val="00B062AD"/>
    <w:rsid w:val="00B067C2"/>
    <w:rsid w:val="00B06E1F"/>
    <w:rsid w:val="00B070BF"/>
    <w:rsid w:val="00B10107"/>
    <w:rsid w:val="00B103AC"/>
    <w:rsid w:val="00B12EA0"/>
    <w:rsid w:val="00B130A9"/>
    <w:rsid w:val="00B21DEA"/>
    <w:rsid w:val="00B22420"/>
    <w:rsid w:val="00B30BFB"/>
    <w:rsid w:val="00B33831"/>
    <w:rsid w:val="00B346C6"/>
    <w:rsid w:val="00B34C86"/>
    <w:rsid w:val="00B37045"/>
    <w:rsid w:val="00B400CB"/>
    <w:rsid w:val="00B411C9"/>
    <w:rsid w:val="00B42765"/>
    <w:rsid w:val="00B42860"/>
    <w:rsid w:val="00B42EAA"/>
    <w:rsid w:val="00B45C9A"/>
    <w:rsid w:val="00B47E27"/>
    <w:rsid w:val="00B5094C"/>
    <w:rsid w:val="00B526EC"/>
    <w:rsid w:val="00B5429D"/>
    <w:rsid w:val="00B57A55"/>
    <w:rsid w:val="00B57FF8"/>
    <w:rsid w:val="00B6064B"/>
    <w:rsid w:val="00B62C6A"/>
    <w:rsid w:val="00B6318B"/>
    <w:rsid w:val="00B6346B"/>
    <w:rsid w:val="00B64079"/>
    <w:rsid w:val="00B6636D"/>
    <w:rsid w:val="00B66875"/>
    <w:rsid w:val="00B67E6D"/>
    <w:rsid w:val="00B70213"/>
    <w:rsid w:val="00B709B4"/>
    <w:rsid w:val="00B7271E"/>
    <w:rsid w:val="00B76F48"/>
    <w:rsid w:val="00B80D6C"/>
    <w:rsid w:val="00B81D28"/>
    <w:rsid w:val="00B833AE"/>
    <w:rsid w:val="00B86D30"/>
    <w:rsid w:val="00B932F9"/>
    <w:rsid w:val="00B95F5E"/>
    <w:rsid w:val="00BA4C24"/>
    <w:rsid w:val="00BA6A30"/>
    <w:rsid w:val="00BA7105"/>
    <w:rsid w:val="00BB0BF2"/>
    <w:rsid w:val="00BB1D1C"/>
    <w:rsid w:val="00BB1EAC"/>
    <w:rsid w:val="00BB248C"/>
    <w:rsid w:val="00BB27A6"/>
    <w:rsid w:val="00BB40EA"/>
    <w:rsid w:val="00BB4C96"/>
    <w:rsid w:val="00BB621F"/>
    <w:rsid w:val="00BC0CD1"/>
    <w:rsid w:val="00BC14F4"/>
    <w:rsid w:val="00BC27ED"/>
    <w:rsid w:val="00BC4EC8"/>
    <w:rsid w:val="00BC57FA"/>
    <w:rsid w:val="00BC75B5"/>
    <w:rsid w:val="00BD104A"/>
    <w:rsid w:val="00BD4689"/>
    <w:rsid w:val="00BD73CF"/>
    <w:rsid w:val="00BD7EBE"/>
    <w:rsid w:val="00BE0DDB"/>
    <w:rsid w:val="00BE1DDD"/>
    <w:rsid w:val="00BE3CDB"/>
    <w:rsid w:val="00BE6F67"/>
    <w:rsid w:val="00BF14C7"/>
    <w:rsid w:val="00BF3D1A"/>
    <w:rsid w:val="00BF429D"/>
    <w:rsid w:val="00BF76E9"/>
    <w:rsid w:val="00C02A62"/>
    <w:rsid w:val="00C12F8F"/>
    <w:rsid w:val="00C1550F"/>
    <w:rsid w:val="00C1597B"/>
    <w:rsid w:val="00C15CA6"/>
    <w:rsid w:val="00C20485"/>
    <w:rsid w:val="00C2405F"/>
    <w:rsid w:val="00C24072"/>
    <w:rsid w:val="00C305DE"/>
    <w:rsid w:val="00C3260B"/>
    <w:rsid w:val="00C42501"/>
    <w:rsid w:val="00C42735"/>
    <w:rsid w:val="00C433E4"/>
    <w:rsid w:val="00C44D9B"/>
    <w:rsid w:val="00C530D6"/>
    <w:rsid w:val="00C54A65"/>
    <w:rsid w:val="00C55187"/>
    <w:rsid w:val="00C5607A"/>
    <w:rsid w:val="00C66E4C"/>
    <w:rsid w:val="00C67C4D"/>
    <w:rsid w:val="00C75D27"/>
    <w:rsid w:val="00C77B2A"/>
    <w:rsid w:val="00C81A72"/>
    <w:rsid w:val="00C84E22"/>
    <w:rsid w:val="00C906FF"/>
    <w:rsid w:val="00C93331"/>
    <w:rsid w:val="00C94E9F"/>
    <w:rsid w:val="00C97965"/>
    <w:rsid w:val="00CA09E9"/>
    <w:rsid w:val="00CA0ADA"/>
    <w:rsid w:val="00CA191B"/>
    <w:rsid w:val="00CA383C"/>
    <w:rsid w:val="00CA6C38"/>
    <w:rsid w:val="00CB7052"/>
    <w:rsid w:val="00CC11EF"/>
    <w:rsid w:val="00CC1255"/>
    <w:rsid w:val="00CC1BBD"/>
    <w:rsid w:val="00CC439B"/>
    <w:rsid w:val="00CC6520"/>
    <w:rsid w:val="00CC7D0C"/>
    <w:rsid w:val="00CD162A"/>
    <w:rsid w:val="00CE1995"/>
    <w:rsid w:val="00CE2E01"/>
    <w:rsid w:val="00CF3C76"/>
    <w:rsid w:val="00CF6AC1"/>
    <w:rsid w:val="00CF6D86"/>
    <w:rsid w:val="00CF72CD"/>
    <w:rsid w:val="00D00815"/>
    <w:rsid w:val="00D02D16"/>
    <w:rsid w:val="00D0331E"/>
    <w:rsid w:val="00D03B6E"/>
    <w:rsid w:val="00D03F2B"/>
    <w:rsid w:val="00D03F3C"/>
    <w:rsid w:val="00D112B9"/>
    <w:rsid w:val="00D13EA6"/>
    <w:rsid w:val="00D145DA"/>
    <w:rsid w:val="00D156E6"/>
    <w:rsid w:val="00D15FD3"/>
    <w:rsid w:val="00D167F1"/>
    <w:rsid w:val="00D16EF4"/>
    <w:rsid w:val="00D17239"/>
    <w:rsid w:val="00D17CB3"/>
    <w:rsid w:val="00D251FF"/>
    <w:rsid w:val="00D2646F"/>
    <w:rsid w:val="00D26A9D"/>
    <w:rsid w:val="00D30586"/>
    <w:rsid w:val="00D31287"/>
    <w:rsid w:val="00D317CC"/>
    <w:rsid w:val="00D34927"/>
    <w:rsid w:val="00D3545E"/>
    <w:rsid w:val="00D354FE"/>
    <w:rsid w:val="00D355F3"/>
    <w:rsid w:val="00D3611C"/>
    <w:rsid w:val="00D36E92"/>
    <w:rsid w:val="00D374A8"/>
    <w:rsid w:val="00D40AEE"/>
    <w:rsid w:val="00D40B48"/>
    <w:rsid w:val="00D44BF0"/>
    <w:rsid w:val="00D4502C"/>
    <w:rsid w:val="00D460D3"/>
    <w:rsid w:val="00D476EB"/>
    <w:rsid w:val="00D47A3B"/>
    <w:rsid w:val="00D503C1"/>
    <w:rsid w:val="00D51E24"/>
    <w:rsid w:val="00D52AB3"/>
    <w:rsid w:val="00D53F55"/>
    <w:rsid w:val="00D57307"/>
    <w:rsid w:val="00D575AC"/>
    <w:rsid w:val="00D61052"/>
    <w:rsid w:val="00D6283F"/>
    <w:rsid w:val="00D62F67"/>
    <w:rsid w:val="00D63394"/>
    <w:rsid w:val="00D63D10"/>
    <w:rsid w:val="00D664BF"/>
    <w:rsid w:val="00D71535"/>
    <w:rsid w:val="00D71BF3"/>
    <w:rsid w:val="00D71CC1"/>
    <w:rsid w:val="00D73E14"/>
    <w:rsid w:val="00D74826"/>
    <w:rsid w:val="00D74C80"/>
    <w:rsid w:val="00D75561"/>
    <w:rsid w:val="00D82FBA"/>
    <w:rsid w:val="00D84B03"/>
    <w:rsid w:val="00D84DBC"/>
    <w:rsid w:val="00D84E4D"/>
    <w:rsid w:val="00D87874"/>
    <w:rsid w:val="00D92121"/>
    <w:rsid w:val="00D94A69"/>
    <w:rsid w:val="00DA05E0"/>
    <w:rsid w:val="00DA2CD0"/>
    <w:rsid w:val="00DA7713"/>
    <w:rsid w:val="00DB423C"/>
    <w:rsid w:val="00DB7370"/>
    <w:rsid w:val="00DC082F"/>
    <w:rsid w:val="00DC0B51"/>
    <w:rsid w:val="00DD566B"/>
    <w:rsid w:val="00DE117E"/>
    <w:rsid w:val="00DE26EB"/>
    <w:rsid w:val="00DE3949"/>
    <w:rsid w:val="00DE6518"/>
    <w:rsid w:val="00DF06D5"/>
    <w:rsid w:val="00DF266E"/>
    <w:rsid w:val="00DF4854"/>
    <w:rsid w:val="00DF510F"/>
    <w:rsid w:val="00E004FF"/>
    <w:rsid w:val="00E01154"/>
    <w:rsid w:val="00E02928"/>
    <w:rsid w:val="00E03674"/>
    <w:rsid w:val="00E04A17"/>
    <w:rsid w:val="00E06A06"/>
    <w:rsid w:val="00E122D3"/>
    <w:rsid w:val="00E20397"/>
    <w:rsid w:val="00E23670"/>
    <w:rsid w:val="00E24300"/>
    <w:rsid w:val="00E25DE9"/>
    <w:rsid w:val="00E27FC7"/>
    <w:rsid w:val="00E30AF6"/>
    <w:rsid w:val="00E341BB"/>
    <w:rsid w:val="00E371AD"/>
    <w:rsid w:val="00E4382A"/>
    <w:rsid w:val="00E46684"/>
    <w:rsid w:val="00E505EC"/>
    <w:rsid w:val="00E50675"/>
    <w:rsid w:val="00E52E1C"/>
    <w:rsid w:val="00E53E87"/>
    <w:rsid w:val="00E57041"/>
    <w:rsid w:val="00E62F29"/>
    <w:rsid w:val="00E66834"/>
    <w:rsid w:val="00E67C9C"/>
    <w:rsid w:val="00E71652"/>
    <w:rsid w:val="00E7375E"/>
    <w:rsid w:val="00E7428A"/>
    <w:rsid w:val="00E7486F"/>
    <w:rsid w:val="00E752D3"/>
    <w:rsid w:val="00E769F4"/>
    <w:rsid w:val="00E81103"/>
    <w:rsid w:val="00E81BF5"/>
    <w:rsid w:val="00E82528"/>
    <w:rsid w:val="00E907B2"/>
    <w:rsid w:val="00E9271C"/>
    <w:rsid w:val="00E929FE"/>
    <w:rsid w:val="00E93970"/>
    <w:rsid w:val="00E939A8"/>
    <w:rsid w:val="00E955A9"/>
    <w:rsid w:val="00EA0AE3"/>
    <w:rsid w:val="00EA1D55"/>
    <w:rsid w:val="00EA1E8C"/>
    <w:rsid w:val="00EA1ECA"/>
    <w:rsid w:val="00EA23A4"/>
    <w:rsid w:val="00EA50F3"/>
    <w:rsid w:val="00EA5FB6"/>
    <w:rsid w:val="00EB6726"/>
    <w:rsid w:val="00EC35B7"/>
    <w:rsid w:val="00EC7DE1"/>
    <w:rsid w:val="00ED0371"/>
    <w:rsid w:val="00ED280C"/>
    <w:rsid w:val="00ED2DA8"/>
    <w:rsid w:val="00ED44DA"/>
    <w:rsid w:val="00ED7C8B"/>
    <w:rsid w:val="00EE4D5E"/>
    <w:rsid w:val="00EE5798"/>
    <w:rsid w:val="00EE5BE9"/>
    <w:rsid w:val="00EE6D0C"/>
    <w:rsid w:val="00EF03E7"/>
    <w:rsid w:val="00EF0541"/>
    <w:rsid w:val="00EF21E4"/>
    <w:rsid w:val="00EF64FD"/>
    <w:rsid w:val="00EF72A0"/>
    <w:rsid w:val="00EF7887"/>
    <w:rsid w:val="00F008A3"/>
    <w:rsid w:val="00F06ADA"/>
    <w:rsid w:val="00F06FC9"/>
    <w:rsid w:val="00F164C6"/>
    <w:rsid w:val="00F17552"/>
    <w:rsid w:val="00F17E7D"/>
    <w:rsid w:val="00F2339A"/>
    <w:rsid w:val="00F246DE"/>
    <w:rsid w:val="00F27656"/>
    <w:rsid w:val="00F34D93"/>
    <w:rsid w:val="00F35225"/>
    <w:rsid w:val="00F36C00"/>
    <w:rsid w:val="00F41C4A"/>
    <w:rsid w:val="00F43EFA"/>
    <w:rsid w:val="00F46372"/>
    <w:rsid w:val="00F46F59"/>
    <w:rsid w:val="00F505C6"/>
    <w:rsid w:val="00F52010"/>
    <w:rsid w:val="00F52746"/>
    <w:rsid w:val="00F6082C"/>
    <w:rsid w:val="00F62952"/>
    <w:rsid w:val="00F62D81"/>
    <w:rsid w:val="00F664FB"/>
    <w:rsid w:val="00F705D7"/>
    <w:rsid w:val="00F72228"/>
    <w:rsid w:val="00F729EE"/>
    <w:rsid w:val="00F754ED"/>
    <w:rsid w:val="00F77EC0"/>
    <w:rsid w:val="00F77F3A"/>
    <w:rsid w:val="00F80690"/>
    <w:rsid w:val="00F81540"/>
    <w:rsid w:val="00F81583"/>
    <w:rsid w:val="00F81A66"/>
    <w:rsid w:val="00F82B0A"/>
    <w:rsid w:val="00F844AE"/>
    <w:rsid w:val="00F903F3"/>
    <w:rsid w:val="00F92C6A"/>
    <w:rsid w:val="00F94E4A"/>
    <w:rsid w:val="00F961FA"/>
    <w:rsid w:val="00FA0254"/>
    <w:rsid w:val="00FA2FB2"/>
    <w:rsid w:val="00FA4044"/>
    <w:rsid w:val="00FA5758"/>
    <w:rsid w:val="00FA5825"/>
    <w:rsid w:val="00FA7C93"/>
    <w:rsid w:val="00FB5526"/>
    <w:rsid w:val="00FB5AD6"/>
    <w:rsid w:val="00FC1124"/>
    <w:rsid w:val="00FC372E"/>
    <w:rsid w:val="00FC39E3"/>
    <w:rsid w:val="00FC4FDC"/>
    <w:rsid w:val="00FC660A"/>
    <w:rsid w:val="00FD3CDC"/>
    <w:rsid w:val="00FE320F"/>
    <w:rsid w:val="00FF27DC"/>
    <w:rsid w:val="00FF2FD5"/>
    <w:rsid w:val="02B36B78"/>
    <w:rsid w:val="06F55595"/>
    <w:rsid w:val="075A582E"/>
    <w:rsid w:val="0A8745A9"/>
    <w:rsid w:val="0DC807A7"/>
    <w:rsid w:val="0E8C7A7B"/>
    <w:rsid w:val="11005FB8"/>
    <w:rsid w:val="1235718D"/>
    <w:rsid w:val="12B904AD"/>
    <w:rsid w:val="24294678"/>
    <w:rsid w:val="2672388E"/>
    <w:rsid w:val="29E452C9"/>
    <w:rsid w:val="2D860512"/>
    <w:rsid w:val="378F284C"/>
    <w:rsid w:val="3A865F28"/>
    <w:rsid w:val="40B97058"/>
    <w:rsid w:val="429D02B3"/>
    <w:rsid w:val="430622FC"/>
    <w:rsid w:val="4521341D"/>
    <w:rsid w:val="48A44149"/>
    <w:rsid w:val="526450B0"/>
    <w:rsid w:val="52750905"/>
    <w:rsid w:val="52ED7DA9"/>
    <w:rsid w:val="540006A2"/>
    <w:rsid w:val="55AC288F"/>
    <w:rsid w:val="56FB210D"/>
    <w:rsid w:val="5778273F"/>
    <w:rsid w:val="580C5867"/>
    <w:rsid w:val="5BAE2726"/>
    <w:rsid w:val="5CCC3817"/>
    <w:rsid w:val="64AA2690"/>
    <w:rsid w:val="650D2C1F"/>
    <w:rsid w:val="695B21AB"/>
    <w:rsid w:val="69D44D0C"/>
    <w:rsid w:val="6D30394E"/>
    <w:rsid w:val="6F341910"/>
    <w:rsid w:val="70DC68F1"/>
    <w:rsid w:val="78BB4A14"/>
    <w:rsid w:val="79C611E8"/>
    <w:rsid w:val="7B340AAD"/>
    <w:rsid w:val="7C702B07"/>
    <w:rsid w:val="7C9D1EB7"/>
    <w:rsid w:val="7F761695"/>
    <w:rsid w:val="7FC248DA"/>
    <w:rsid w:val="7FFFF697"/>
    <w:rsid w:val="C6FDA826"/>
    <w:rsid w:val="DBAD8100"/>
    <w:rsid w:val="ECEE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qFormat="1"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宋体" w:hAnsi="宋体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numPr>
        <w:ilvl w:val="0"/>
        <w:numId w:val="1"/>
      </w:numPr>
      <w:spacing w:before="100" w:beforeLines="100" w:after="100" w:afterLines="100"/>
      <w:jc w:val="center"/>
      <w:outlineLvl w:val="0"/>
    </w:pPr>
    <w:rPr>
      <w:rFonts w:ascii="黑体" w:hAnsi="黑体"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26"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="楷体" w:hAnsi="楷体" w:eastAsia="楷体" w:cstheme="majorBidi"/>
      <w:b/>
      <w:bCs/>
      <w:sz w:val="28"/>
      <w:szCs w:val="32"/>
    </w:rPr>
  </w:style>
  <w:style w:type="paragraph" w:styleId="4">
    <w:name w:val="heading 3"/>
    <w:basedOn w:val="1"/>
    <w:next w:val="1"/>
    <w:link w:val="32"/>
    <w:unhideWhenUsed/>
    <w:qFormat/>
    <w:uiPriority w:val="9"/>
    <w:pPr>
      <w:keepNext/>
      <w:keepLines/>
      <w:numPr>
        <w:ilvl w:val="2"/>
        <w:numId w:val="1"/>
      </w:numPr>
      <w:ind w:firstLine="200" w:firstLineChars="200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5"/>
    <w:unhideWhenUsed/>
    <w:qFormat/>
    <w:uiPriority w:val="9"/>
    <w:pPr>
      <w:keepNext/>
      <w:keepLines/>
      <w:spacing w:after="100" w:afterLines="100"/>
      <w:outlineLvl w:val="3"/>
    </w:pPr>
    <w:rPr>
      <w:rFonts w:ascii="黑体" w:hAnsi="黑体" w:eastAsia="黑体" w:cstheme="majorBidi"/>
      <w:bCs/>
      <w:sz w:val="30"/>
      <w:szCs w:val="28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7">
    <w:name w:val="annotation text"/>
    <w:basedOn w:val="1"/>
    <w:link w:val="37"/>
    <w:semiHidden/>
    <w:unhideWhenUsed/>
    <w:qFormat/>
    <w:uiPriority w:val="99"/>
    <w:pPr>
      <w:jc w:val="left"/>
    </w:pPr>
  </w:style>
  <w:style w:type="paragraph" w:styleId="8">
    <w:name w:val="Body Text"/>
    <w:basedOn w:val="1"/>
    <w:next w:val="1"/>
    <w:link w:val="44"/>
    <w:qFormat/>
    <w:uiPriority w:val="99"/>
    <w:pPr>
      <w:tabs>
        <w:tab w:val="left" w:pos="567"/>
      </w:tabs>
      <w:spacing w:before="120" w:line="22" w:lineRule="atLeast"/>
    </w:pPr>
    <w:rPr>
      <w:rFonts w:cs="Times New Roman"/>
      <w:kern w:val="0"/>
      <w:szCs w:val="20"/>
    </w:rPr>
  </w:style>
  <w:style w:type="paragraph" w:styleId="9">
    <w:name w:val="Date"/>
    <w:basedOn w:val="1"/>
    <w:next w:val="1"/>
    <w:link w:val="29"/>
    <w:semiHidden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42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1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2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toc 1"/>
    <w:basedOn w:val="1"/>
    <w:next w:val="1"/>
    <w:unhideWhenUsed/>
    <w:qFormat/>
    <w:uiPriority w:val="39"/>
    <w:rPr>
      <w:sz w:val="28"/>
    </w:rPr>
  </w:style>
  <w:style w:type="paragraph" w:styleId="14">
    <w:name w:val="toc 4"/>
    <w:basedOn w:val="1"/>
    <w:next w:val="1"/>
    <w:semiHidden/>
    <w:unhideWhenUsed/>
    <w:qFormat/>
    <w:uiPriority w:val="39"/>
    <w:pPr>
      <w:ind w:left="600" w:leftChars="600"/>
    </w:pPr>
    <w:rPr>
      <w:sz w:val="28"/>
    </w:rPr>
  </w:style>
  <w:style w:type="paragraph" w:styleId="1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6">
    <w:name w:val="Title"/>
    <w:basedOn w:val="1"/>
    <w:next w:val="1"/>
    <w:link w:val="24"/>
    <w:qFormat/>
    <w:uiPriority w:val="10"/>
    <w:pPr>
      <w:spacing w:before="300" w:beforeLines="300" w:after="1000" w:afterLines="1000"/>
      <w:jc w:val="center"/>
      <w:outlineLvl w:val="0"/>
    </w:pPr>
    <w:rPr>
      <w:rFonts w:ascii="方正小标宋_GBK" w:hAnsi="方正小标宋_GBK" w:eastAsia="方正小标宋_GBK" w:cstheme="majorBidi"/>
      <w:bCs/>
      <w:sz w:val="44"/>
      <w:szCs w:val="32"/>
    </w:rPr>
  </w:style>
  <w:style w:type="paragraph" w:styleId="17">
    <w:name w:val="annotation subject"/>
    <w:basedOn w:val="7"/>
    <w:next w:val="7"/>
    <w:link w:val="38"/>
    <w:semiHidden/>
    <w:unhideWhenUsed/>
    <w:qFormat/>
    <w:uiPriority w:val="99"/>
    <w:rPr>
      <w:b/>
      <w:bCs/>
    </w:rPr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22"/>
    <w:rPr>
      <w:b/>
    </w:rPr>
  </w:style>
  <w:style w:type="character" w:styleId="22">
    <w:name w:val="Hyperlink"/>
    <w:basedOn w:val="2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3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customStyle="1" w:styleId="24">
    <w:name w:val="标题 字符"/>
    <w:basedOn w:val="20"/>
    <w:link w:val="16"/>
    <w:qFormat/>
    <w:uiPriority w:val="10"/>
    <w:rPr>
      <w:rFonts w:ascii="方正小标宋_GBK" w:hAnsi="方正小标宋_GBK" w:eastAsia="方正小标宋_GBK" w:cstheme="majorBidi"/>
      <w:bCs/>
      <w:sz w:val="44"/>
      <w:szCs w:val="32"/>
    </w:rPr>
  </w:style>
  <w:style w:type="character" w:customStyle="1" w:styleId="25">
    <w:name w:val="标题 1 字符"/>
    <w:basedOn w:val="20"/>
    <w:link w:val="2"/>
    <w:qFormat/>
    <w:uiPriority w:val="9"/>
    <w:rPr>
      <w:rFonts w:ascii="黑体" w:hAnsi="黑体" w:eastAsia="黑体"/>
      <w:bCs/>
      <w:kern w:val="44"/>
      <w:sz w:val="32"/>
      <w:szCs w:val="44"/>
    </w:rPr>
  </w:style>
  <w:style w:type="character" w:customStyle="1" w:styleId="26">
    <w:name w:val="标题 2 字符"/>
    <w:basedOn w:val="20"/>
    <w:link w:val="3"/>
    <w:qFormat/>
    <w:uiPriority w:val="9"/>
    <w:rPr>
      <w:rFonts w:ascii="楷体" w:hAnsi="楷体" w:eastAsia="楷体" w:cstheme="majorBidi"/>
      <w:b/>
      <w:bCs/>
      <w:sz w:val="28"/>
      <w:szCs w:val="32"/>
    </w:rPr>
  </w:style>
  <w:style w:type="paragraph" w:customStyle="1" w:styleId="27">
    <w:name w:val="标题3"/>
    <w:basedOn w:val="1"/>
    <w:next w:val="1"/>
    <w:link w:val="28"/>
    <w:qFormat/>
    <w:uiPriority w:val="0"/>
    <w:pPr>
      <w:numPr>
        <w:ilvl w:val="2"/>
        <w:numId w:val="2"/>
      </w:numPr>
    </w:pPr>
    <w:rPr>
      <w:b/>
    </w:rPr>
  </w:style>
  <w:style w:type="character" w:customStyle="1" w:styleId="28">
    <w:name w:val="标题3 字符"/>
    <w:basedOn w:val="20"/>
    <w:link w:val="27"/>
    <w:qFormat/>
    <w:uiPriority w:val="0"/>
    <w:rPr>
      <w:rFonts w:ascii="仿宋" w:hAnsi="仿宋" w:eastAsia="仿宋"/>
      <w:b/>
      <w:sz w:val="24"/>
    </w:rPr>
  </w:style>
  <w:style w:type="character" w:customStyle="1" w:styleId="29">
    <w:name w:val="日期 字符"/>
    <w:basedOn w:val="20"/>
    <w:link w:val="9"/>
    <w:semiHidden/>
    <w:qFormat/>
    <w:uiPriority w:val="99"/>
    <w:rPr>
      <w:rFonts w:ascii="仿宋" w:hAnsi="仿宋" w:eastAsia="仿宋"/>
      <w:sz w:val="24"/>
    </w:rPr>
  </w:style>
  <w:style w:type="character" w:customStyle="1" w:styleId="30">
    <w:name w:val="页眉 字符"/>
    <w:basedOn w:val="20"/>
    <w:link w:val="12"/>
    <w:qFormat/>
    <w:uiPriority w:val="99"/>
    <w:rPr>
      <w:rFonts w:ascii="仿宋" w:hAnsi="仿宋" w:eastAsia="仿宋"/>
      <w:sz w:val="18"/>
      <w:szCs w:val="18"/>
    </w:rPr>
  </w:style>
  <w:style w:type="character" w:customStyle="1" w:styleId="31">
    <w:name w:val="页脚 字符"/>
    <w:basedOn w:val="20"/>
    <w:link w:val="11"/>
    <w:qFormat/>
    <w:uiPriority w:val="99"/>
    <w:rPr>
      <w:rFonts w:ascii="仿宋" w:hAnsi="仿宋" w:eastAsia="仿宋"/>
      <w:sz w:val="18"/>
      <w:szCs w:val="18"/>
    </w:rPr>
  </w:style>
  <w:style w:type="character" w:customStyle="1" w:styleId="32">
    <w:name w:val="标题 3 字符"/>
    <w:basedOn w:val="20"/>
    <w:link w:val="4"/>
    <w:qFormat/>
    <w:uiPriority w:val="9"/>
    <w:rPr>
      <w:rFonts w:ascii="宋体" w:hAnsi="宋体" w:eastAsia="仿宋"/>
      <w:b/>
      <w:bCs/>
      <w:sz w:val="24"/>
      <w:szCs w:val="32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  <w:style w:type="character" w:styleId="34">
    <w:name w:val="Placeholder Text"/>
    <w:basedOn w:val="20"/>
    <w:semiHidden/>
    <w:qFormat/>
    <w:uiPriority w:val="99"/>
    <w:rPr>
      <w:color w:val="808080"/>
    </w:rPr>
  </w:style>
  <w:style w:type="character" w:customStyle="1" w:styleId="35">
    <w:name w:val="标题 4 字符"/>
    <w:basedOn w:val="20"/>
    <w:link w:val="5"/>
    <w:qFormat/>
    <w:uiPriority w:val="9"/>
    <w:rPr>
      <w:rFonts w:ascii="黑体" w:hAnsi="黑体" w:eastAsia="黑体" w:cstheme="majorBidi"/>
      <w:bCs/>
      <w:sz w:val="30"/>
      <w:szCs w:val="28"/>
    </w:rPr>
  </w:style>
  <w:style w:type="paragraph" w:customStyle="1" w:styleId="36">
    <w:name w:val="样式2"/>
    <w:basedOn w:val="1"/>
    <w:qFormat/>
    <w:uiPriority w:val="0"/>
    <w:pPr>
      <w:spacing w:line="300" w:lineRule="auto"/>
      <w:jc w:val="center"/>
      <w:outlineLvl w:val="0"/>
    </w:pPr>
    <w:rPr>
      <w:rFonts w:ascii="Times New Roman" w:hAnsi="Times New Roman" w:cs="Times New Roman"/>
      <w:b/>
      <w:szCs w:val="20"/>
    </w:rPr>
  </w:style>
  <w:style w:type="character" w:customStyle="1" w:styleId="37">
    <w:name w:val="批注文字 字符"/>
    <w:basedOn w:val="20"/>
    <w:link w:val="7"/>
    <w:semiHidden/>
    <w:qFormat/>
    <w:uiPriority w:val="99"/>
    <w:rPr>
      <w:rFonts w:ascii="宋体" w:hAnsi="宋体" w:eastAsia="宋体"/>
      <w:sz w:val="24"/>
    </w:rPr>
  </w:style>
  <w:style w:type="character" w:customStyle="1" w:styleId="38">
    <w:name w:val="批注主题 字符"/>
    <w:basedOn w:val="37"/>
    <w:link w:val="17"/>
    <w:semiHidden/>
    <w:qFormat/>
    <w:uiPriority w:val="99"/>
    <w:rPr>
      <w:rFonts w:ascii="宋体" w:hAnsi="宋体" w:eastAsia="宋体"/>
      <w:b/>
      <w:bCs/>
      <w:sz w:val="24"/>
    </w:rPr>
  </w:style>
  <w:style w:type="paragraph" w:customStyle="1" w:styleId="39">
    <w:name w:val="列出段落1"/>
    <w:basedOn w:val="1"/>
    <w:qFormat/>
    <w:uiPriority w:val="0"/>
    <w:pPr>
      <w:spacing w:line="240" w:lineRule="auto"/>
      <w:ind w:firstLine="420"/>
    </w:pPr>
    <w:rPr>
      <w:kern w:val="0"/>
      <w:sz w:val="20"/>
      <w:szCs w:val="20"/>
    </w:rPr>
  </w:style>
  <w:style w:type="paragraph" w:customStyle="1" w:styleId="40">
    <w:name w:val="Char"/>
    <w:basedOn w:val="1"/>
    <w:qFormat/>
    <w:uiPriority w:val="0"/>
    <w:pPr>
      <w:spacing w:line="240" w:lineRule="auto"/>
      <w:ind w:firstLine="200" w:firstLineChars="200"/>
    </w:pPr>
    <w:rPr>
      <w:rFonts w:ascii="Tahoma" w:hAnsi="Tahoma" w:cs="Times New Roman"/>
      <w:szCs w:val="20"/>
    </w:rPr>
  </w:style>
  <w:style w:type="character" w:customStyle="1" w:styleId="41">
    <w:name w:val="未处理的提及1"/>
    <w:basedOn w:val="2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2">
    <w:name w:val="批注框文本 字符"/>
    <w:basedOn w:val="20"/>
    <w:link w:val="10"/>
    <w:semiHidden/>
    <w:qFormat/>
    <w:uiPriority w:val="99"/>
    <w:rPr>
      <w:rFonts w:ascii="宋体" w:hAnsi="宋体" w:cstheme="minorBidi"/>
      <w:kern w:val="2"/>
      <w:sz w:val="18"/>
      <w:szCs w:val="18"/>
    </w:rPr>
  </w:style>
  <w:style w:type="paragraph" w:customStyle="1" w:styleId="43">
    <w:name w:val="列出段落11"/>
    <w:basedOn w:val="1"/>
    <w:qFormat/>
    <w:uiPriority w:val="99"/>
    <w:pPr>
      <w:widowControl/>
      <w:spacing w:before="40" w:after="160" w:line="240" w:lineRule="auto"/>
      <w:ind w:firstLine="420" w:firstLineChars="200"/>
      <w:jc w:val="left"/>
    </w:pPr>
    <w:rPr>
      <w:rFonts w:ascii="Cambria" w:hAnsi="Cambria" w:eastAsia="微软雅黑" w:cs="Cambria"/>
      <w:color w:val="565656"/>
      <w:kern w:val="20"/>
      <w:sz w:val="21"/>
      <w:szCs w:val="21"/>
      <w:lang w:val="zh-CN"/>
    </w:rPr>
  </w:style>
  <w:style w:type="character" w:customStyle="1" w:styleId="44">
    <w:name w:val="正文文本 字符"/>
    <w:basedOn w:val="20"/>
    <w:link w:val="8"/>
    <w:qFormat/>
    <w:uiPriority w:val="99"/>
    <w:rPr>
      <w:rFonts w:ascii="宋体" w:hAnsi="宋体"/>
      <w:sz w:val="24"/>
    </w:rPr>
  </w:style>
  <w:style w:type="character" w:customStyle="1" w:styleId="4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3724</Words>
  <Characters>3842</Characters>
  <Lines>117</Lines>
  <Paragraphs>104</Paragraphs>
  <TotalTime>2</TotalTime>
  <ScaleCrop>false</ScaleCrop>
  <LinksUpToDate>false</LinksUpToDate>
  <CharactersWithSpaces>3855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2025-05-14T19:57:00Z</dcterms:created>
  <dc:creator>CNAH</dc:creator>
  <cp:lastModifiedBy>秉</cp:lastModifiedBy>
  <cp:lastPrinted>2025-05-15T14:32:00Z</cp:lastPrinted>
  <dcterms:modified xsi:type="dcterms:W3CDTF">2025-06-20T08:40:03Z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FB894630C1F648559FA570DC8C5C78CD_12</vt:lpwstr>
  </property>
  <property fmtid="{D5CDD505-2E9C-101B-9397-08002B2CF9AE}" pid="4" name="KSOTemplateDocerSaveRecord">
    <vt:lpwstr>eyJoZGlkIjoiMTQwZDM2ODhiMTEwNDkyMjhmYWYxMmJlZGZlMTNmN2YiLCJ1c2VySWQiOiI1MjM0MjE0NjQifQ==</vt:lpwstr>
  </property>
</Properties>
</file>