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984CB">
      <w:pPr>
        <w:pageBreakBefore w:val="0"/>
        <w:kinsoku/>
        <w:wordWrap/>
        <w:overflowPunct/>
        <w:topLinePunct w:val="0"/>
        <w:autoSpaceDE/>
        <w:autoSpaceDN/>
        <w:bidi w:val="0"/>
        <w:adjustRightInd/>
        <w:spacing w:line="480" w:lineRule="exact"/>
        <w:jc w:val="center"/>
        <w:textAlignment w:val="auto"/>
        <w:rPr>
          <w:rFonts w:ascii="宋体" w:hAnsi="宋体" w:eastAsia="宋体" w:cs="宋体"/>
          <w:b/>
          <w:sz w:val="36"/>
          <w:szCs w:val="36"/>
        </w:rPr>
      </w:pPr>
      <w:r>
        <w:rPr>
          <w:rFonts w:hint="eastAsia" w:ascii="宋体" w:hAnsi="宋体" w:eastAsia="宋体" w:cs="宋体"/>
          <w:b/>
          <w:sz w:val="36"/>
          <w:szCs w:val="36"/>
        </w:rPr>
        <w:t>北京市医药物资监测系统运维服务</w:t>
      </w:r>
      <w:r>
        <w:rPr>
          <w:rFonts w:hint="eastAsia" w:ascii="宋体" w:hAnsi="宋体" w:eastAsia="宋体" w:cs="宋体"/>
          <w:b/>
          <w:sz w:val="36"/>
          <w:szCs w:val="36"/>
          <w:lang w:eastAsia="zh-CN"/>
        </w:rPr>
        <w:t>（</w:t>
      </w:r>
      <w:r>
        <w:rPr>
          <w:rFonts w:ascii="宋体" w:hAnsi="宋体" w:eastAsia="宋体" w:cs="宋体"/>
          <w:b/>
          <w:sz w:val="36"/>
          <w:szCs w:val="36"/>
        </w:rPr>
        <w:t>202</w:t>
      </w:r>
      <w:r>
        <w:rPr>
          <w:rFonts w:hint="eastAsia" w:ascii="宋体" w:hAnsi="宋体" w:eastAsia="宋体" w:cs="宋体"/>
          <w:b/>
          <w:sz w:val="36"/>
          <w:szCs w:val="36"/>
        </w:rPr>
        <w:t>5年度</w:t>
      </w:r>
      <w:r>
        <w:rPr>
          <w:rFonts w:hint="eastAsia" w:ascii="宋体" w:hAnsi="宋体" w:eastAsia="宋体" w:cs="宋体"/>
          <w:b/>
          <w:sz w:val="36"/>
          <w:szCs w:val="36"/>
          <w:lang w:eastAsia="zh-CN"/>
        </w:rPr>
        <w:t>）</w:t>
      </w:r>
    </w:p>
    <w:p w14:paraId="3AEFDFB3">
      <w:pPr>
        <w:pageBreakBefore w:val="0"/>
        <w:kinsoku/>
        <w:wordWrap/>
        <w:overflowPunct/>
        <w:topLinePunct w:val="0"/>
        <w:autoSpaceDE/>
        <w:autoSpaceDN/>
        <w:bidi w:val="0"/>
        <w:adjustRightInd/>
        <w:spacing w:line="480" w:lineRule="exact"/>
        <w:jc w:val="center"/>
        <w:textAlignment w:val="auto"/>
        <w:rPr>
          <w:rFonts w:ascii="宋体" w:hAnsi="宋体" w:eastAsia="宋体" w:cs="宋体"/>
          <w:b/>
          <w:sz w:val="36"/>
          <w:szCs w:val="36"/>
        </w:rPr>
      </w:pPr>
      <w:r>
        <w:rPr>
          <w:rFonts w:hint="eastAsia" w:ascii="宋体" w:hAnsi="宋体" w:eastAsia="宋体" w:cs="宋体"/>
          <w:b/>
          <w:sz w:val="36"/>
          <w:szCs w:val="36"/>
        </w:rPr>
        <w:t>遴选公告</w:t>
      </w:r>
    </w:p>
    <w:p w14:paraId="4DD46221">
      <w:pPr>
        <w:pageBreakBefore w:val="0"/>
        <w:kinsoku/>
        <w:wordWrap/>
        <w:overflowPunct/>
        <w:topLinePunct w:val="0"/>
        <w:autoSpaceDE/>
        <w:autoSpaceDN/>
        <w:bidi w:val="0"/>
        <w:adjustRightInd/>
        <w:spacing w:line="480" w:lineRule="exact"/>
        <w:jc w:val="center"/>
        <w:textAlignment w:val="auto"/>
        <w:rPr>
          <w:rFonts w:ascii="黑体" w:hAnsi="黑体" w:eastAsia="黑体" w:cs="黑体"/>
          <w:bCs/>
          <w:color w:val="000000" w:themeColor="text1"/>
          <w:sz w:val="44"/>
          <w:szCs w:val="44"/>
          <w14:textFill>
            <w14:solidFill>
              <w14:schemeClr w14:val="tx1"/>
            </w14:solidFill>
          </w14:textFill>
        </w:rPr>
      </w:pPr>
    </w:p>
    <w:p w14:paraId="47DD8259">
      <w:pPr>
        <w:pageBreakBefore w:val="0"/>
        <w:kinsoku/>
        <w:wordWrap/>
        <w:overflowPunct/>
        <w:topLinePunct w:val="0"/>
        <w:autoSpaceDE/>
        <w:autoSpaceDN/>
        <w:bidi w:val="0"/>
        <w:adjustRightInd/>
        <w:snapToGrid w:val="0"/>
        <w:spacing w:line="480" w:lineRule="exact"/>
        <w:ind w:firstLine="480" w:firstLineChars="200"/>
        <w:textAlignment w:val="auto"/>
        <w:rPr>
          <w:rFonts w:cs="Times New Roman" w:asciiTheme="minorEastAsia" w:hAnsiTheme="minorEastAsia"/>
          <w:color w:val="000000" w:themeColor="text1"/>
          <w:sz w:val="24"/>
          <w:szCs w:val="28"/>
          <w14:textFill>
            <w14:solidFill>
              <w14:schemeClr w14:val="tx1"/>
            </w14:solidFill>
          </w14:textFill>
        </w:rPr>
      </w:pPr>
      <w:r>
        <w:rPr>
          <w:rFonts w:hint="eastAsia" w:cs="Times New Roman" w:asciiTheme="minorEastAsia" w:hAnsiTheme="minorEastAsia"/>
          <w:color w:val="000000" w:themeColor="text1"/>
          <w:sz w:val="24"/>
          <w:szCs w:val="28"/>
          <w14:textFill>
            <w14:solidFill>
              <w14:schemeClr w14:val="tx1"/>
            </w14:solidFill>
          </w14:textFill>
        </w:rPr>
        <w:t>依据国家卫生健康委员会办公厅关于新冠肺炎疫情防控常态化下进一步提高院前医疗急救应对能力的通知</w:t>
      </w:r>
      <w:r>
        <w:rPr>
          <w:rFonts w:cs="Times New Roman" w:asciiTheme="minorEastAsia" w:hAnsiTheme="minorEastAsia"/>
          <w:color w:val="000000" w:themeColor="text1"/>
          <w:sz w:val="24"/>
          <w:szCs w:val="28"/>
          <w14:textFill>
            <w14:solidFill>
              <w14:schemeClr w14:val="tx1"/>
            </w14:solidFill>
          </w14:textFill>
        </w:rPr>
        <w:t>(</w:t>
      </w:r>
      <w:r>
        <w:rPr>
          <w:rFonts w:hint="eastAsia" w:cs="Times New Roman" w:asciiTheme="minorEastAsia" w:hAnsiTheme="minorEastAsia"/>
          <w:color w:val="000000" w:themeColor="text1"/>
          <w:sz w:val="24"/>
          <w:szCs w:val="28"/>
          <w14:textFill>
            <w14:solidFill>
              <w14:schemeClr w14:val="tx1"/>
            </w14:solidFill>
          </w14:textFill>
        </w:rPr>
        <w:t>国卫办医函〔</w:t>
      </w:r>
      <w:r>
        <w:rPr>
          <w:rFonts w:cs="Times New Roman" w:asciiTheme="minorEastAsia" w:hAnsiTheme="minorEastAsia"/>
          <w:color w:val="000000" w:themeColor="text1"/>
          <w:sz w:val="24"/>
          <w:szCs w:val="28"/>
          <w14:textFill>
            <w14:solidFill>
              <w14:schemeClr w14:val="tx1"/>
            </w14:solidFill>
          </w14:textFill>
        </w:rPr>
        <w:t>2020〕557</w:t>
      </w:r>
      <w:r>
        <w:rPr>
          <w:rFonts w:hint="eastAsia" w:cs="Times New Roman" w:asciiTheme="minorEastAsia" w:hAnsiTheme="minorEastAsia"/>
          <w:color w:val="000000" w:themeColor="text1"/>
          <w:sz w:val="24"/>
          <w:szCs w:val="28"/>
          <w14:textFill>
            <w14:solidFill>
              <w14:schemeClr w14:val="tx1"/>
            </w14:solidFill>
          </w14:textFill>
        </w:rPr>
        <w:t>号</w:t>
      </w:r>
      <w:r>
        <w:rPr>
          <w:rFonts w:cs="Times New Roman" w:asciiTheme="minorEastAsia" w:hAnsiTheme="minorEastAsia"/>
          <w:color w:val="000000" w:themeColor="text1"/>
          <w:sz w:val="24"/>
          <w:szCs w:val="28"/>
          <w14:textFill>
            <w14:solidFill>
              <w14:schemeClr w14:val="tx1"/>
            </w14:solidFill>
          </w14:textFill>
        </w:rPr>
        <w:t>)要求，</w:t>
      </w:r>
      <w:r>
        <w:rPr>
          <w:rFonts w:hint="eastAsia" w:cs="Times New Roman" w:asciiTheme="minorEastAsia" w:hAnsiTheme="minorEastAsia"/>
          <w:color w:val="000000" w:themeColor="text1"/>
          <w:sz w:val="24"/>
          <w:szCs w:val="28"/>
          <w14:textFill>
            <w14:solidFill>
              <w14:schemeClr w14:val="tx1"/>
            </w14:solidFill>
          </w14:textFill>
        </w:rPr>
        <w:t>北京市在疫情期间紧急搭建了北京防治新型冠状病毒感染肺炎物资管理系统</w:t>
      </w:r>
      <w:r>
        <w:rPr>
          <w:rFonts w:cs="Times New Roman" w:asciiTheme="minorEastAsia" w:hAnsiTheme="minorEastAsia"/>
          <w:color w:val="000000" w:themeColor="text1"/>
          <w:sz w:val="24"/>
          <w:szCs w:val="28"/>
          <w14:textFill>
            <w14:solidFill>
              <w14:schemeClr w14:val="tx1"/>
            </w14:solidFill>
          </w14:textFill>
        </w:rPr>
        <w:t>,助力</w:t>
      </w:r>
      <w:r>
        <w:rPr>
          <w:rFonts w:hint="eastAsia" w:cs="Times New Roman" w:asciiTheme="minorEastAsia" w:hAnsiTheme="minorEastAsia"/>
          <w:color w:val="000000" w:themeColor="text1"/>
          <w:sz w:val="24"/>
          <w:szCs w:val="28"/>
          <w14:textFill>
            <w14:solidFill>
              <w14:schemeClr w14:val="tx1"/>
            </w14:solidFill>
          </w14:textFill>
        </w:rPr>
        <w:t>北京市</w:t>
      </w:r>
      <w:r>
        <w:rPr>
          <w:rFonts w:cs="Times New Roman" w:asciiTheme="minorEastAsia" w:hAnsiTheme="minorEastAsia"/>
          <w:color w:val="000000" w:themeColor="text1"/>
          <w:sz w:val="24"/>
          <w:szCs w:val="28"/>
          <w14:textFill>
            <w14:solidFill>
              <w14:schemeClr w14:val="tx1"/>
            </w14:solidFill>
          </w14:textFill>
        </w:rPr>
        <w:t>600</w:t>
      </w:r>
      <w:r>
        <w:rPr>
          <w:rFonts w:hint="eastAsia" w:cs="Times New Roman" w:asciiTheme="minorEastAsia" w:hAnsiTheme="minorEastAsia"/>
          <w:color w:val="000000" w:themeColor="text1"/>
          <w:sz w:val="24"/>
          <w:szCs w:val="28"/>
          <w14:textFill>
            <w14:solidFill>
              <w14:schemeClr w14:val="tx1"/>
            </w14:solidFill>
          </w14:textFill>
        </w:rPr>
        <w:t>多家医疗机构、</w:t>
      </w:r>
      <w:r>
        <w:rPr>
          <w:rFonts w:cs="Times New Roman" w:asciiTheme="minorEastAsia" w:hAnsiTheme="minorEastAsia"/>
          <w:color w:val="000000" w:themeColor="text1"/>
          <w:sz w:val="24"/>
          <w:szCs w:val="28"/>
          <w14:textFill>
            <w14:solidFill>
              <w14:schemeClr w14:val="tx1"/>
            </w14:solidFill>
          </w14:textFill>
        </w:rPr>
        <w:t>13个归口单位进行统一的物资信息在线管理，降低前线医护人员的工作强度，实现高效准确的物资使用情况每日实时在线上报，及时了解物资库存情况，协同相关工作人员解决防疫难题，协调解决口罩、消毒用品等防护物资不足等问题。</w:t>
      </w:r>
    </w:p>
    <w:p w14:paraId="7031D0C0">
      <w:pPr>
        <w:pageBreakBefore w:val="0"/>
        <w:kinsoku/>
        <w:wordWrap/>
        <w:overflowPunct/>
        <w:topLinePunct w:val="0"/>
        <w:autoSpaceDE/>
        <w:autoSpaceDN/>
        <w:bidi w:val="0"/>
        <w:adjustRightInd/>
        <w:snapToGrid w:val="0"/>
        <w:spacing w:line="480" w:lineRule="exact"/>
        <w:ind w:firstLine="480" w:firstLineChars="200"/>
        <w:textAlignment w:val="auto"/>
        <w:rPr>
          <w:rFonts w:cs="Times New Roman" w:asciiTheme="minorEastAsia" w:hAnsiTheme="minorEastAsia"/>
          <w:color w:val="000000" w:themeColor="text1"/>
          <w:sz w:val="24"/>
          <w:szCs w:val="28"/>
          <w14:textFill>
            <w14:solidFill>
              <w14:schemeClr w14:val="tx1"/>
            </w14:solidFill>
          </w14:textFill>
        </w:rPr>
      </w:pPr>
      <w:r>
        <w:rPr>
          <w:rFonts w:hint="eastAsia" w:cs="Times New Roman" w:asciiTheme="minorEastAsia" w:hAnsiTheme="minorEastAsia"/>
          <w:color w:val="000000" w:themeColor="text1"/>
          <w:sz w:val="24"/>
          <w:szCs w:val="28"/>
          <w14:textFill>
            <w14:solidFill>
              <w14:schemeClr w14:val="tx1"/>
            </w14:solidFill>
          </w14:textFill>
        </w:rPr>
        <w:t>为满足后疫情时代物资管理需求</w:t>
      </w:r>
      <w:r>
        <w:rPr>
          <w:rFonts w:cs="Times New Roman" w:asciiTheme="minorEastAsia" w:hAnsiTheme="minorEastAsia"/>
          <w:color w:val="000000" w:themeColor="text1"/>
          <w:sz w:val="24"/>
          <w:szCs w:val="28"/>
          <w14:textFill>
            <w14:solidFill>
              <w14:schemeClr w14:val="tx1"/>
            </w14:solidFill>
          </w14:textFill>
        </w:rPr>
        <w:t>，</w:t>
      </w:r>
      <w:r>
        <w:rPr>
          <w:rFonts w:hint="eastAsia" w:cs="Times New Roman" w:asciiTheme="minorEastAsia" w:hAnsiTheme="minorEastAsia"/>
          <w:color w:val="000000" w:themeColor="text1"/>
          <w:sz w:val="24"/>
          <w:szCs w:val="28"/>
          <w14:textFill>
            <w14:solidFill>
              <w14:schemeClr w14:val="tx1"/>
            </w14:solidFill>
          </w14:textFill>
        </w:rPr>
        <w:t>系统已于2024年更名为北京市医药物资监测系统，</w:t>
      </w:r>
      <w:r>
        <w:rPr>
          <w:rFonts w:cs="Times New Roman" w:asciiTheme="minorEastAsia" w:hAnsiTheme="minorEastAsia"/>
          <w:color w:val="000000" w:themeColor="text1"/>
          <w:sz w:val="24"/>
          <w:szCs w:val="28"/>
          <w14:textFill>
            <w14:solidFill>
              <w14:schemeClr w14:val="tx1"/>
            </w14:solidFill>
          </w14:textFill>
        </w:rPr>
        <w:t>现面向社会公开遴选202</w:t>
      </w:r>
      <w:r>
        <w:rPr>
          <w:rFonts w:hint="eastAsia" w:cs="Times New Roman" w:asciiTheme="minorEastAsia" w:hAnsiTheme="minorEastAsia"/>
          <w:color w:val="000000" w:themeColor="text1"/>
          <w:sz w:val="24"/>
          <w:szCs w:val="28"/>
          <w14:textFill>
            <w14:solidFill>
              <w14:schemeClr w14:val="tx1"/>
            </w14:solidFill>
          </w14:textFill>
        </w:rPr>
        <w:t>5年度北京市医药物资监测系统运维服务的承担单位，保证系统稳定、安全和可靠运行，有关事项公告如下：</w:t>
      </w:r>
    </w:p>
    <w:p w14:paraId="5C37E550">
      <w:pPr>
        <w:pStyle w:val="2"/>
        <w:pageBreakBefore w:val="0"/>
        <w:kinsoku/>
        <w:wordWrap/>
        <w:overflowPunct/>
        <w:topLinePunct w:val="0"/>
        <w:autoSpaceDE/>
        <w:autoSpaceDN/>
        <w:bidi w:val="0"/>
        <w:adjustRightInd/>
        <w:snapToGrid w:val="0"/>
        <w:spacing w:before="0" w:after="0" w:line="480" w:lineRule="exact"/>
        <w:textAlignment w:val="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一、委托单位</w:t>
      </w:r>
    </w:p>
    <w:p w14:paraId="444C23E5">
      <w:pPr>
        <w:pageBreakBefore w:val="0"/>
        <w:kinsoku/>
        <w:wordWrap/>
        <w:overflowPunct/>
        <w:topLinePunct w:val="0"/>
        <w:autoSpaceDE/>
        <w:autoSpaceDN/>
        <w:bidi w:val="0"/>
        <w:adjustRightInd/>
        <w:snapToGrid w:val="0"/>
        <w:spacing w:line="480" w:lineRule="exact"/>
        <w:ind w:firstLine="480" w:firstLineChars="200"/>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北京市卫生健康大数据与政策研究中心</w:t>
      </w:r>
    </w:p>
    <w:p w14:paraId="64A68213">
      <w:pPr>
        <w:pStyle w:val="2"/>
        <w:pageBreakBefore w:val="0"/>
        <w:numPr>
          <w:ilvl w:val="0"/>
          <w:numId w:val="1"/>
        </w:numPr>
        <w:kinsoku/>
        <w:wordWrap/>
        <w:overflowPunct/>
        <w:topLinePunct w:val="0"/>
        <w:autoSpaceDE/>
        <w:autoSpaceDN/>
        <w:bidi w:val="0"/>
        <w:adjustRightInd/>
        <w:snapToGrid w:val="0"/>
        <w:spacing w:before="0" w:after="0" w:line="480" w:lineRule="exact"/>
        <w:textAlignment w:val="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工作任务</w:t>
      </w:r>
    </w:p>
    <w:p w14:paraId="61E76866">
      <w:pPr>
        <w:pStyle w:val="20"/>
        <w:pageBreakBefore w:val="0"/>
        <w:numPr>
          <w:ilvl w:val="0"/>
          <w:numId w:val="2"/>
        </w:numPr>
        <w:kinsoku/>
        <w:wordWrap/>
        <w:overflowPunct/>
        <w:topLinePunct w:val="0"/>
        <w:autoSpaceDE/>
        <w:autoSpaceDN/>
        <w:bidi w:val="0"/>
        <w:adjustRightInd/>
        <w:spacing w:line="480" w:lineRule="exact"/>
        <w:ind w:firstLineChars="0"/>
        <w:contextualSpacing/>
        <w:textAlignment w:val="auto"/>
        <w:rPr>
          <w:rFonts w:ascii="宋体" w:hAnsi="宋体" w:eastAsia="宋体" w:cs="仿宋_GB2312"/>
          <w:sz w:val="24"/>
          <w:szCs w:val="24"/>
        </w:rPr>
      </w:pPr>
      <w:r>
        <w:rPr>
          <w:rFonts w:hint="eastAsia" w:ascii="宋体" w:hAnsi="宋体" w:eastAsia="宋体" w:cs="仿宋_GB2312"/>
          <w:sz w:val="24"/>
          <w:szCs w:val="24"/>
        </w:rPr>
        <w:t>服务内容</w:t>
      </w:r>
    </w:p>
    <w:p w14:paraId="75A0DF8A">
      <w:pPr>
        <w:pageBreakBefore w:val="0"/>
        <w:kinsoku/>
        <w:wordWrap/>
        <w:overflowPunct/>
        <w:topLinePunct w:val="0"/>
        <w:autoSpaceDE/>
        <w:autoSpaceDN/>
        <w:bidi w:val="0"/>
        <w:adjustRightInd/>
        <w:spacing w:line="480" w:lineRule="exact"/>
        <w:ind w:firstLine="420"/>
        <w:contextualSpacing/>
        <w:textAlignment w:val="auto"/>
        <w:rPr>
          <w:rFonts w:ascii="宋体" w:hAnsi="宋体" w:eastAsia="宋体" w:cs="仿宋_GB2312"/>
          <w:sz w:val="24"/>
          <w:szCs w:val="24"/>
        </w:rPr>
      </w:pPr>
      <w:r>
        <w:rPr>
          <w:rFonts w:hint="eastAsia" w:ascii="宋体" w:hAnsi="宋体" w:eastAsia="宋体" w:cs="仿宋_GB2312"/>
          <w:sz w:val="24"/>
          <w:szCs w:val="24"/>
        </w:rPr>
        <w:t>本项目服务内容主要包括日常巡检、客服咨询、技术支持、数据处理与维护、系统修复优化、应急现场支持、系统培训、应急保障（含应急演练、节假日值守等）等。</w:t>
      </w:r>
    </w:p>
    <w:p w14:paraId="16F7D3EF">
      <w:pPr>
        <w:pageBreakBefore w:val="0"/>
        <w:kinsoku/>
        <w:wordWrap/>
        <w:overflowPunct/>
        <w:topLinePunct w:val="0"/>
        <w:autoSpaceDE/>
        <w:autoSpaceDN/>
        <w:bidi w:val="0"/>
        <w:adjustRightInd/>
        <w:spacing w:line="480" w:lineRule="exact"/>
        <w:ind w:firstLine="482" w:firstLineChars="200"/>
        <w:jc w:val="left"/>
        <w:textAlignment w:val="auto"/>
        <w:outlineLvl w:val="3"/>
        <w:rPr>
          <w:rFonts w:ascii="宋体" w:hAnsi="宋体" w:eastAsia="宋体"/>
          <w:b/>
          <w:sz w:val="24"/>
          <w:szCs w:val="24"/>
        </w:rPr>
      </w:pPr>
      <w:r>
        <w:rPr>
          <w:rFonts w:hint="eastAsia" w:ascii="宋体" w:hAnsi="宋体" w:eastAsia="宋体"/>
          <w:b/>
          <w:sz w:val="24"/>
          <w:szCs w:val="24"/>
        </w:rPr>
        <w:t>（</w:t>
      </w:r>
      <w:r>
        <w:rPr>
          <w:rFonts w:ascii="宋体" w:hAnsi="宋体" w:eastAsia="宋体"/>
          <w:b/>
          <w:sz w:val="24"/>
          <w:szCs w:val="24"/>
        </w:rPr>
        <w:t>1）日常维护与巡检</w:t>
      </w:r>
    </w:p>
    <w:p w14:paraId="0DFBF69E">
      <w:pPr>
        <w:pageBreakBefore w:val="0"/>
        <w:widowControl/>
        <w:kinsoku/>
        <w:wordWrap/>
        <w:overflowPunct/>
        <w:topLinePunct w:val="0"/>
        <w:autoSpaceDE/>
        <w:autoSpaceDN/>
        <w:bidi w:val="0"/>
        <w:adjustRightInd/>
        <w:spacing w:line="480" w:lineRule="exact"/>
        <w:ind w:firstLine="480" w:firstLineChars="200"/>
        <w:contextualSpacing/>
        <w:textAlignment w:val="auto"/>
        <w:rPr>
          <w:rFonts w:ascii="宋体" w:hAnsi="宋体" w:eastAsia="宋体" w:cs="仿宋_GB2312"/>
          <w:sz w:val="24"/>
          <w:szCs w:val="24"/>
        </w:rPr>
      </w:pPr>
      <w:r>
        <w:rPr>
          <w:rFonts w:hint="eastAsia" w:ascii="宋体" w:hAnsi="宋体" w:eastAsia="宋体" w:cs="仿宋_GB2312"/>
          <w:sz w:val="24"/>
          <w:szCs w:val="24"/>
        </w:rPr>
        <w:t>日常维护，即对软件系统提供日常维护服务。制定日常维护方案，设定维护项，合理安排维护计划。在软件系统的正常运行过程中，周期性开展常规巡检与维护工作，消除故障异常、软件告警、安全隐患等，保障软件系统运行状况良好，防止故障发生，降低数据缺失风险与负面影响。确保软件系统能够7×24小时正常运行。</w:t>
      </w:r>
    </w:p>
    <w:p w14:paraId="601BB7ED">
      <w:pPr>
        <w:pageBreakBefore w:val="0"/>
        <w:kinsoku/>
        <w:wordWrap/>
        <w:overflowPunct/>
        <w:topLinePunct w:val="0"/>
        <w:autoSpaceDE/>
        <w:autoSpaceDN/>
        <w:bidi w:val="0"/>
        <w:adjustRightInd/>
        <w:spacing w:line="480" w:lineRule="exact"/>
        <w:ind w:firstLine="482" w:firstLineChars="200"/>
        <w:jc w:val="left"/>
        <w:textAlignment w:val="auto"/>
        <w:outlineLvl w:val="3"/>
        <w:rPr>
          <w:rFonts w:ascii="宋体" w:hAnsi="宋体" w:eastAsia="宋体"/>
          <w:b/>
          <w:sz w:val="24"/>
          <w:szCs w:val="24"/>
        </w:rPr>
      </w:pPr>
      <w:r>
        <w:rPr>
          <w:rFonts w:hint="eastAsia" w:ascii="宋体" w:hAnsi="宋体" w:eastAsia="宋体"/>
          <w:b/>
          <w:sz w:val="24"/>
          <w:szCs w:val="24"/>
        </w:rPr>
        <w:t>（</w:t>
      </w:r>
      <w:r>
        <w:rPr>
          <w:rFonts w:ascii="宋体" w:hAnsi="宋体" w:eastAsia="宋体"/>
          <w:b/>
          <w:sz w:val="24"/>
          <w:szCs w:val="24"/>
        </w:rPr>
        <w:t>2）客服咨询</w:t>
      </w:r>
    </w:p>
    <w:p w14:paraId="67C42FF9">
      <w:pPr>
        <w:pageBreakBefore w:val="0"/>
        <w:widowControl/>
        <w:kinsoku/>
        <w:wordWrap/>
        <w:overflowPunct/>
        <w:topLinePunct w:val="0"/>
        <w:autoSpaceDE/>
        <w:autoSpaceDN/>
        <w:bidi w:val="0"/>
        <w:adjustRightInd/>
        <w:spacing w:line="480" w:lineRule="exact"/>
        <w:ind w:firstLine="480" w:firstLineChars="200"/>
        <w:contextualSpacing/>
        <w:textAlignment w:val="auto"/>
        <w:rPr>
          <w:rFonts w:ascii="宋体" w:hAnsi="宋体" w:eastAsia="宋体" w:cs="仿宋_GB2312"/>
          <w:sz w:val="24"/>
          <w:szCs w:val="24"/>
        </w:rPr>
      </w:pPr>
      <w:r>
        <w:rPr>
          <w:rFonts w:hint="eastAsia" w:ascii="宋体" w:hAnsi="宋体" w:eastAsia="宋体" w:cs="仿宋_GB2312"/>
          <w:sz w:val="24"/>
          <w:szCs w:val="24"/>
        </w:rPr>
        <w:t>针对用户在系统使用过程中遇到问题，提供服务热线，保证</w:t>
      </w:r>
      <w:r>
        <w:rPr>
          <w:rFonts w:ascii="宋体" w:hAnsi="宋体" w:eastAsia="宋体" w:cs="仿宋_GB2312"/>
          <w:sz w:val="24"/>
          <w:szCs w:val="24"/>
        </w:rPr>
        <w:t>7×24小时的电话热线支持。</w:t>
      </w:r>
    </w:p>
    <w:p w14:paraId="1B6AEA5C">
      <w:pPr>
        <w:pageBreakBefore w:val="0"/>
        <w:kinsoku/>
        <w:wordWrap/>
        <w:overflowPunct/>
        <w:topLinePunct w:val="0"/>
        <w:autoSpaceDE/>
        <w:autoSpaceDN/>
        <w:bidi w:val="0"/>
        <w:adjustRightInd/>
        <w:spacing w:line="480" w:lineRule="exact"/>
        <w:ind w:firstLine="482" w:firstLineChars="200"/>
        <w:jc w:val="left"/>
        <w:textAlignment w:val="auto"/>
        <w:outlineLvl w:val="3"/>
        <w:rPr>
          <w:rFonts w:ascii="宋体" w:hAnsi="宋体" w:eastAsia="宋体"/>
          <w:b/>
          <w:sz w:val="24"/>
          <w:szCs w:val="24"/>
        </w:rPr>
      </w:pPr>
      <w:r>
        <w:rPr>
          <w:rFonts w:hint="eastAsia" w:ascii="宋体" w:hAnsi="宋体" w:eastAsia="宋体"/>
          <w:b/>
          <w:sz w:val="24"/>
          <w:szCs w:val="24"/>
        </w:rPr>
        <w:t>（</w:t>
      </w:r>
      <w:r>
        <w:rPr>
          <w:rFonts w:ascii="宋体" w:hAnsi="宋体" w:eastAsia="宋体"/>
          <w:b/>
          <w:sz w:val="24"/>
          <w:szCs w:val="24"/>
        </w:rPr>
        <w:t>3）应急现场支持</w:t>
      </w:r>
    </w:p>
    <w:p w14:paraId="340DA641">
      <w:pPr>
        <w:pageBreakBefore w:val="0"/>
        <w:kinsoku/>
        <w:wordWrap/>
        <w:overflowPunct/>
        <w:topLinePunct w:val="0"/>
        <w:autoSpaceDE/>
        <w:autoSpaceDN/>
        <w:bidi w:val="0"/>
        <w:adjustRightInd/>
        <w:spacing w:line="480" w:lineRule="exact"/>
        <w:ind w:firstLine="480" w:firstLineChars="200"/>
        <w:jc w:val="left"/>
        <w:textAlignment w:val="auto"/>
        <w:rPr>
          <w:rFonts w:ascii="宋体" w:hAnsi="宋体" w:eastAsia="宋体" w:cs="仿宋_GB2312"/>
          <w:sz w:val="24"/>
          <w:szCs w:val="24"/>
        </w:rPr>
      </w:pPr>
      <w:r>
        <w:rPr>
          <w:rFonts w:hint="eastAsia" w:ascii="宋体" w:hAnsi="宋体" w:eastAsia="宋体" w:cs="仿宋_GB2312"/>
          <w:sz w:val="24"/>
          <w:szCs w:val="24"/>
        </w:rPr>
        <w:t>服务台呼叫中心接到用户紧急事件，如不能远程解决，服务台派工至现场工程师解决，由现场工程师联系问题提出人进行情况了解，并解决相关终端问题，为客户正常开展业务服务提供保障。</w:t>
      </w:r>
    </w:p>
    <w:p w14:paraId="4DD3B809">
      <w:pPr>
        <w:pageBreakBefore w:val="0"/>
        <w:kinsoku/>
        <w:wordWrap/>
        <w:overflowPunct/>
        <w:topLinePunct w:val="0"/>
        <w:autoSpaceDE/>
        <w:autoSpaceDN/>
        <w:bidi w:val="0"/>
        <w:adjustRightInd/>
        <w:spacing w:line="480" w:lineRule="exact"/>
        <w:ind w:firstLine="482" w:firstLineChars="200"/>
        <w:jc w:val="left"/>
        <w:textAlignment w:val="auto"/>
        <w:outlineLvl w:val="3"/>
        <w:rPr>
          <w:rFonts w:ascii="宋体" w:hAnsi="宋体" w:eastAsia="宋体"/>
          <w:b/>
          <w:sz w:val="24"/>
          <w:szCs w:val="24"/>
        </w:rPr>
      </w:pPr>
      <w:r>
        <w:rPr>
          <w:rFonts w:hint="eastAsia" w:ascii="宋体" w:hAnsi="宋体" w:eastAsia="宋体"/>
          <w:b/>
          <w:sz w:val="24"/>
          <w:szCs w:val="24"/>
        </w:rPr>
        <w:t>（</w:t>
      </w:r>
      <w:r>
        <w:rPr>
          <w:rFonts w:ascii="宋体" w:hAnsi="宋体" w:eastAsia="宋体"/>
          <w:b/>
          <w:sz w:val="24"/>
          <w:szCs w:val="24"/>
        </w:rPr>
        <w:t>4）技术支持、数据处理与维护</w:t>
      </w:r>
    </w:p>
    <w:p w14:paraId="3C0CA37A">
      <w:pPr>
        <w:pageBreakBefore w:val="0"/>
        <w:kinsoku/>
        <w:wordWrap/>
        <w:overflowPunct/>
        <w:topLinePunct w:val="0"/>
        <w:autoSpaceDE/>
        <w:autoSpaceDN/>
        <w:bidi w:val="0"/>
        <w:adjustRightInd/>
        <w:spacing w:line="480" w:lineRule="exact"/>
        <w:ind w:firstLine="480" w:firstLineChars="200"/>
        <w:jc w:val="left"/>
        <w:textAlignment w:val="auto"/>
        <w:rPr>
          <w:rFonts w:ascii="宋体" w:hAnsi="宋体" w:eastAsia="宋体" w:cs="仿宋_GB2312"/>
          <w:sz w:val="24"/>
          <w:szCs w:val="24"/>
        </w:rPr>
      </w:pPr>
      <w:r>
        <w:rPr>
          <w:rFonts w:hint="eastAsia" w:ascii="宋体" w:hAnsi="宋体" w:eastAsia="宋体" w:cs="仿宋_GB2312"/>
          <w:sz w:val="24"/>
          <w:szCs w:val="24"/>
        </w:rPr>
        <w:t>提供技术支持服务，解决用户使用过程中遇到的问题。监控数据上传是否成功、网络监测、上传数据质控，监控数据质量。</w:t>
      </w:r>
    </w:p>
    <w:p w14:paraId="2082A192">
      <w:pPr>
        <w:pageBreakBefore w:val="0"/>
        <w:kinsoku/>
        <w:wordWrap/>
        <w:overflowPunct/>
        <w:topLinePunct w:val="0"/>
        <w:autoSpaceDE/>
        <w:autoSpaceDN/>
        <w:bidi w:val="0"/>
        <w:adjustRightInd/>
        <w:spacing w:line="480" w:lineRule="exact"/>
        <w:ind w:firstLine="482" w:firstLineChars="200"/>
        <w:jc w:val="left"/>
        <w:textAlignment w:val="auto"/>
        <w:outlineLvl w:val="3"/>
        <w:rPr>
          <w:rFonts w:ascii="宋体" w:hAnsi="宋体" w:eastAsia="宋体"/>
          <w:b/>
          <w:sz w:val="24"/>
          <w:szCs w:val="24"/>
        </w:rPr>
      </w:pPr>
      <w:r>
        <w:rPr>
          <w:rFonts w:hint="eastAsia" w:ascii="宋体" w:hAnsi="宋体" w:eastAsia="宋体"/>
          <w:b/>
          <w:sz w:val="24"/>
          <w:szCs w:val="24"/>
        </w:rPr>
        <w:t>（</w:t>
      </w:r>
      <w:r>
        <w:rPr>
          <w:rFonts w:ascii="宋体" w:hAnsi="宋体" w:eastAsia="宋体"/>
          <w:b/>
          <w:sz w:val="24"/>
          <w:szCs w:val="24"/>
        </w:rPr>
        <w:t>5）系统修复优化</w:t>
      </w:r>
    </w:p>
    <w:p w14:paraId="237E8BA2">
      <w:pPr>
        <w:pageBreakBefore w:val="0"/>
        <w:widowControl/>
        <w:kinsoku/>
        <w:wordWrap/>
        <w:overflowPunct/>
        <w:topLinePunct w:val="0"/>
        <w:autoSpaceDE/>
        <w:autoSpaceDN/>
        <w:bidi w:val="0"/>
        <w:adjustRightInd/>
        <w:spacing w:line="480" w:lineRule="exact"/>
        <w:ind w:firstLine="420"/>
        <w:contextualSpacing/>
        <w:textAlignment w:val="auto"/>
        <w:rPr>
          <w:rFonts w:ascii="宋体" w:hAnsi="宋体" w:eastAsia="宋体"/>
          <w:color w:val="000000"/>
          <w:sz w:val="24"/>
          <w:szCs w:val="24"/>
        </w:rPr>
      </w:pPr>
      <w:r>
        <w:rPr>
          <w:rFonts w:hint="eastAsia" w:ascii="宋体" w:hAnsi="宋体" w:eastAsia="宋体" w:cs="仿宋_GB2312"/>
          <w:sz w:val="24"/>
          <w:szCs w:val="24"/>
        </w:rPr>
        <w:t>对系统使用过程中出现的</w:t>
      </w:r>
      <w:r>
        <w:rPr>
          <w:rFonts w:ascii="宋体" w:hAnsi="宋体" w:eastAsia="宋体" w:cs="仿宋_GB2312"/>
          <w:sz w:val="24"/>
          <w:szCs w:val="24"/>
        </w:rPr>
        <w:t>BUG等进行修复和优化</w:t>
      </w:r>
      <w:r>
        <w:rPr>
          <w:rFonts w:hint="eastAsia" w:ascii="宋体" w:hAnsi="宋体" w:eastAsia="宋体" w:cs="仿宋_GB2312"/>
          <w:sz w:val="24"/>
          <w:szCs w:val="24"/>
        </w:rPr>
        <w:t>，</w:t>
      </w:r>
      <w:r>
        <w:rPr>
          <w:rFonts w:hint="eastAsia" w:ascii="宋体" w:hAnsi="宋体" w:eastAsia="宋体"/>
          <w:color w:val="000000"/>
          <w:sz w:val="24"/>
          <w:szCs w:val="24"/>
        </w:rPr>
        <w:t>提供全年不超过</w:t>
      </w:r>
      <w:r>
        <w:rPr>
          <w:rFonts w:ascii="宋体" w:hAnsi="宋体" w:eastAsia="宋体"/>
          <w:color w:val="000000"/>
          <w:sz w:val="24"/>
          <w:szCs w:val="24"/>
        </w:rPr>
        <w:t>1人月的系统优化服务</w:t>
      </w:r>
      <w:r>
        <w:rPr>
          <w:rFonts w:hint="eastAsia" w:ascii="宋体" w:hAnsi="宋体" w:eastAsia="宋体"/>
          <w:color w:val="000000"/>
          <w:sz w:val="24"/>
          <w:szCs w:val="24"/>
        </w:rPr>
        <w:t>。</w:t>
      </w:r>
    </w:p>
    <w:p w14:paraId="42D93C2D">
      <w:pPr>
        <w:pageBreakBefore w:val="0"/>
        <w:kinsoku/>
        <w:wordWrap/>
        <w:overflowPunct/>
        <w:topLinePunct w:val="0"/>
        <w:autoSpaceDE/>
        <w:autoSpaceDN/>
        <w:bidi w:val="0"/>
        <w:adjustRightInd/>
        <w:spacing w:line="480" w:lineRule="exact"/>
        <w:ind w:firstLine="482" w:firstLineChars="200"/>
        <w:jc w:val="left"/>
        <w:textAlignment w:val="auto"/>
        <w:outlineLvl w:val="3"/>
        <w:rPr>
          <w:rFonts w:ascii="宋体" w:hAnsi="宋体" w:eastAsia="宋体"/>
          <w:b/>
          <w:sz w:val="24"/>
          <w:szCs w:val="24"/>
        </w:rPr>
      </w:pPr>
      <w:r>
        <w:rPr>
          <w:rFonts w:hint="eastAsia" w:ascii="宋体" w:hAnsi="宋体" w:eastAsia="宋体"/>
          <w:b/>
          <w:sz w:val="24"/>
          <w:szCs w:val="24"/>
        </w:rPr>
        <w:t>（</w:t>
      </w:r>
      <w:r>
        <w:rPr>
          <w:rFonts w:ascii="宋体" w:hAnsi="宋体" w:eastAsia="宋体"/>
          <w:b/>
          <w:sz w:val="24"/>
          <w:szCs w:val="24"/>
        </w:rPr>
        <w:t>6）系统培训及资料提供</w:t>
      </w:r>
    </w:p>
    <w:p w14:paraId="1AEA236F">
      <w:pPr>
        <w:pageBreakBefore w:val="0"/>
        <w:kinsoku/>
        <w:wordWrap/>
        <w:overflowPunct/>
        <w:topLinePunct w:val="0"/>
        <w:autoSpaceDE/>
        <w:autoSpaceDN/>
        <w:bidi w:val="0"/>
        <w:adjustRightInd/>
        <w:spacing w:line="480" w:lineRule="exact"/>
        <w:ind w:firstLine="480" w:firstLineChars="200"/>
        <w:jc w:val="left"/>
        <w:textAlignment w:val="auto"/>
        <w:rPr>
          <w:rFonts w:ascii="宋体" w:hAnsi="宋体" w:eastAsia="宋体" w:cs="仿宋_GB2312"/>
          <w:sz w:val="24"/>
          <w:szCs w:val="24"/>
        </w:rPr>
      </w:pPr>
      <w:r>
        <w:rPr>
          <w:rFonts w:hint="eastAsia" w:ascii="宋体" w:hAnsi="宋体" w:eastAsia="宋体" w:cs="仿宋_GB2312"/>
          <w:sz w:val="24"/>
          <w:szCs w:val="24"/>
        </w:rPr>
        <w:t>提供系统培训服务，并对参训人员进行签到、考核，考核结果提交市卫生健康委员会备案。运维项目组应汇总常见问题解决方法、及时更新系统使用说明书，提供电子资料给系统使用人员，以供其快速解决相关问题，提高工作效率，加强对系统的理解和操作。</w:t>
      </w:r>
    </w:p>
    <w:p w14:paraId="265006EA">
      <w:pPr>
        <w:pageBreakBefore w:val="0"/>
        <w:kinsoku/>
        <w:wordWrap/>
        <w:overflowPunct/>
        <w:topLinePunct w:val="0"/>
        <w:autoSpaceDE/>
        <w:autoSpaceDN/>
        <w:bidi w:val="0"/>
        <w:adjustRightInd/>
        <w:spacing w:line="480" w:lineRule="exact"/>
        <w:ind w:firstLine="482" w:firstLineChars="200"/>
        <w:jc w:val="left"/>
        <w:textAlignment w:val="auto"/>
        <w:outlineLvl w:val="3"/>
        <w:rPr>
          <w:rFonts w:ascii="宋体" w:hAnsi="宋体" w:eastAsia="宋体"/>
          <w:b/>
          <w:sz w:val="24"/>
          <w:szCs w:val="24"/>
        </w:rPr>
      </w:pPr>
      <w:r>
        <w:rPr>
          <w:rFonts w:hint="eastAsia" w:ascii="宋体" w:hAnsi="宋体" w:eastAsia="宋体"/>
          <w:b/>
          <w:sz w:val="24"/>
          <w:szCs w:val="24"/>
        </w:rPr>
        <w:t>（</w:t>
      </w:r>
      <w:r>
        <w:rPr>
          <w:rFonts w:ascii="宋体" w:hAnsi="宋体" w:eastAsia="宋体"/>
          <w:b/>
          <w:sz w:val="24"/>
          <w:szCs w:val="24"/>
        </w:rPr>
        <w:t>7）重点时段保障</w:t>
      </w:r>
    </w:p>
    <w:p w14:paraId="5DD774AB">
      <w:pPr>
        <w:pageBreakBefore w:val="0"/>
        <w:kinsoku/>
        <w:wordWrap/>
        <w:overflowPunct/>
        <w:topLinePunct w:val="0"/>
        <w:autoSpaceDE/>
        <w:autoSpaceDN/>
        <w:bidi w:val="0"/>
        <w:adjustRightInd/>
        <w:spacing w:line="480" w:lineRule="exact"/>
        <w:ind w:firstLine="480" w:firstLineChars="200"/>
        <w:jc w:val="left"/>
        <w:textAlignment w:val="auto"/>
        <w:rPr>
          <w:rFonts w:ascii="宋体" w:hAnsi="宋体" w:eastAsia="宋体" w:cs="仿宋_GB2312"/>
          <w:sz w:val="24"/>
          <w:szCs w:val="24"/>
        </w:rPr>
      </w:pPr>
      <w:r>
        <w:rPr>
          <w:rFonts w:hint="eastAsia" w:ascii="宋体" w:hAnsi="宋体" w:eastAsia="宋体" w:cs="仿宋_GB2312"/>
          <w:sz w:val="24"/>
          <w:szCs w:val="24"/>
        </w:rPr>
        <w:t>对重要时点，包括出现疫情及重大政治活动、重要会议、节假日等，制定重要时点运维保障方案。提前对软件系统等运维对象进行预防性健康检查和深度巡检，落实监控部署措施，主动发现系统异常、业务风险、安全隐患等情况，及时进行干预和处理。服务人员根据重要时点保障要求进行驻场值守保障。</w:t>
      </w:r>
    </w:p>
    <w:p w14:paraId="242370B9">
      <w:pPr>
        <w:pageBreakBefore w:val="0"/>
        <w:kinsoku/>
        <w:wordWrap/>
        <w:overflowPunct/>
        <w:topLinePunct w:val="0"/>
        <w:autoSpaceDE/>
        <w:autoSpaceDN/>
        <w:bidi w:val="0"/>
        <w:adjustRightInd/>
        <w:spacing w:line="480" w:lineRule="exact"/>
        <w:ind w:firstLine="482" w:firstLineChars="200"/>
        <w:jc w:val="left"/>
        <w:textAlignment w:val="auto"/>
        <w:outlineLvl w:val="3"/>
        <w:rPr>
          <w:rFonts w:ascii="宋体" w:hAnsi="宋体" w:eastAsia="宋体"/>
          <w:b/>
          <w:sz w:val="24"/>
          <w:szCs w:val="24"/>
        </w:rPr>
      </w:pPr>
      <w:r>
        <w:rPr>
          <w:rFonts w:hint="eastAsia" w:ascii="宋体" w:hAnsi="宋体" w:eastAsia="宋体"/>
          <w:b/>
          <w:sz w:val="24"/>
          <w:szCs w:val="24"/>
        </w:rPr>
        <w:t>（</w:t>
      </w:r>
      <w:r>
        <w:rPr>
          <w:rFonts w:ascii="宋体" w:hAnsi="宋体" w:eastAsia="宋体"/>
          <w:b/>
          <w:sz w:val="24"/>
          <w:szCs w:val="24"/>
        </w:rPr>
        <w:t>8）SSL</w:t>
      </w:r>
      <w:r>
        <w:rPr>
          <w:rFonts w:hint="eastAsia" w:ascii="宋体" w:hAnsi="宋体" w:eastAsia="宋体"/>
          <w:b/>
          <w:sz w:val="24"/>
          <w:szCs w:val="24"/>
        </w:rPr>
        <w:t>证书</w:t>
      </w:r>
    </w:p>
    <w:p w14:paraId="0330F21B">
      <w:pPr>
        <w:pageBreakBefore w:val="0"/>
        <w:kinsoku/>
        <w:wordWrap/>
        <w:overflowPunct/>
        <w:topLinePunct w:val="0"/>
        <w:autoSpaceDE/>
        <w:autoSpaceDN/>
        <w:bidi w:val="0"/>
        <w:adjustRightInd/>
        <w:spacing w:line="480" w:lineRule="exact"/>
        <w:ind w:firstLine="480" w:firstLineChars="200"/>
        <w:jc w:val="left"/>
        <w:textAlignment w:val="auto"/>
        <w:rPr>
          <w:rFonts w:ascii="宋体" w:hAnsi="宋体" w:eastAsia="宋体" w:cs="仿宋_GB2312"/>
          <w:sz w:val="24"/>
          <w:szCs w:val="24"/>
        </w:rPr>
      </w:pPr>
      <w:r>
        <w:rPr>
          <w:rFonts w:ascii="宋体" w:hAnsi="宋体" w:eastAsia="宋体" w:cs="仿宋_GB2312"/>
          <w:sz w:val="24"/>
          <w:szCs w:val="24"/>
        </w:rPr>
        <w:t>提供项目所需的SSL证书服务</w:t>
      </w:r>
      <w:r>
        <w:rPr>
          <w:rFonts w:hint="eastAsia" w:ascii="宋体" w:hAnsi="宋体" w:eastAsia="宋体" w:cs="仿宋_GB2312"/>
          <w:sz w:val="24"/>
          <w:szCs w:val="24"/>
        </w:rPr>
        <w:t>（</w:t>
      </w:r>
      <w:r>
        <w:rPr>
          <w:rFonts w:ascii="宋体" w:hAnsi="宋体" w:eastAsia="宋体" w:cs="仿宋_GB2312"/>
          <w:sz w:val="24"/>
          <w:szCs w:val="24"/>
        </w:rPr>
        <w:t>1年）</w:t>
      </w:r>
      <w:r>
        <w:rPr>
          <w:rFonts w:hint="eastAsia" w:ascii="宋体" w:hAnsi="宋体" w:eastAsia="宋体" w:cs="仿宋_GB2312"/>
          <w:sz w:val="24"/>
          <w:szCs w:val="24"/>
        </w:rPr>
        <w:t>。</w:t>
      </w:r>
    </w:p>
    <w:p w14:paraId="6162C180">
      <w:pPr>
        <w:pStyle w:val="20"/>
        <w:pageBreakBefore w:val="0"/>
        <w:numPr>
          <w:ilvl w:val="0"/>
          <w:numId w:val="2"/>
        </w:numPr>
        <w:kinsoku/>
        <w:wordWrap/>
        <w:overflowPunct/>
        <w:topLinePunct w:val="0"/>
        <w:autoSpaceDE/>
        <w:autoSpaceDN/>
        <w:bidi w:val="0"/>
        <w:adjustRightInd/>
        <w:spacing w:line="480" w:lineRule="exact"/>
        <w:ind w:firstLineChars="0"/>
        <w:contextualSpacing/>
        <w:textAlignment w:val="auto"/>
        <w:rPr>
          <w:rFonts w:ascii="宋体" w:hAnsi="宋体" w:eastAsia="宋体" w:cs="仿宋_GB2312"/>
          <w:sz w:val="24"/>
          <w:szCs w:val="24"/>
        </w:rPr>
      </w:pPr>
      <w:r>
        <w:rPr>
          <w:rFonts w:hint="eastAsia" w:ascii="宋体" w:hAnsi="宋体" w:eastAsia="宋体" w:cs="仿宋_GB2312"/>
          <w:sz w:val="24"/>
          <w:szCs w:val="24"/>
        </w:rPr>
        <w:t>运维范围</w:t>
      </w:r>
    </w:p>
    <w:p w14:paraId="1F0FEA92">
      <w:pPr>
        <w:pageBreakBefore w:val="0"/>
        <w:kinsoku/>
        <w:wordWrap/>
        <w:overflowPunct/>
        <w:topLinePunct w:val="0"/>
        <w:autoSpaceDE/>
        <w:autoSpaceDN/>
        <w:bidi w:val="0"/>
        <w:adjustRightInd/>
        <w:spacing w:line="480" w:lineRule="exact"/>
        <w:ind w:firstLine="420"/>
        <w:contextualSpacing/>
        <w:textAlignment w:val="auto"/>
        <w:rPr>
          <w:rFonts w:ascii="宋体" w:hAnsi="宋体" w:eastAsia="宋体" w:cs="仿宋_GB2312"/>
          <w:sz w:val="24"/>
          <w:szCs w:val="24"/>
        </w:rPr>
      </w:pPr>
      <w:r>
        <w:rPr>
          <w:rFonts w:hint="eastAsia" w:ascii="宋体" w:hAnsi="宋体" w:eastAsia="宋体" w:cs="仿宋_GB2312"/>
          <w:sz w:val="24"/>
          <w:szCs w:val="24"/>
        </w:rPr>
        <w:t>（</w:t>
      </w:r>
      <w:r>
        <w:rPr>
          <w:rFonts w:ascii="宋体" w:hAnsi="宋体" w:eastAsia="宋体" w:cs="仿宋_GB2312"/>
          <w:sz w:val="24"/>
          <w:szCs w:val="24"/>
        </w:rPr>
        <w:t>1）</w:t>
      </w:r>
      <w:r>
        <w:rPr>
          <w:rFonts w:hint="eastAsia" w:ascii="宋体" w:hAnsi="宋体" w:eastAsia="宋体" w:cs="仿宋_GB2312"/>
          <w:sz w:val="24"/>
          <w:szCs w:val="24"/>
        </w:rPr>
        <w:t>物资上报系统：</w:t>
      </w:r>
      <w:r>
        <w:rPr>
          <w:rFonts w:ascii="宋体" w:hAnsi="宋体" w:eastAsia="宋体" w:cs="仿宋_GB2312"/>
          <w:sz w:val="24"/>
          <w:szCs w:val="24"/>
        </w:rPr>
        <w:t xml:space="preserve"> </w:t>
      </w:r>
      <w:r>
        <w:rPr>
          <w:rFonts w:hint="eastAsia" w:ascii="宋体" w:hAnsi="宋体" w:eastAsia="宋体" w:cs="仿宋_GB2312"/>
          <w:sz w:val="24"/>
          <w:szCs w:val="24"/>
        </w:rPr>
        <w:t>市卫健委</w:t>
      </w:r>
      <w:r>
        <w:rPr>
          <w:rFonts w:ascii="宋体" w:hAnsi="宋体" w:eastAsia="宋体" w:cs="仿宋_GB2312"/>
          <w:sz w:val="24"/>
          <w:szCs w:val="24"/>
        </w:rPr>
        <w:t>1个</w:t>
      </w:r>
      <w:r>
        <w:rPr>
          <w:rFonts w:hint="eastAsia" w:ascii="宋体" w:hAnsi="宋体" w:eastAsia="宋体" w:cs="仿宋_GB2312"/>
          <w:sz w:val="24"/>
          <w:szCs w:val="24"/>
        </w:rPr>
        <w:t>市级用户，北京</w:t>
      </w:r>
      <w:r>
        <w:rPr>
          <w:rFonts w:ascii="宋体" w:hAnsi="宋体" w:eastAsia="宋体" w:cs="仿宋_GB2312"/>
          <w:sz w:val="24"/>
          <w:szCs w:val="24"/>
        </w:rPr>
        <w:t>628家医疗机构，25个归口单位。</w:t>
      </w:r>
    </w:p>
    <w:p w14:paraId="036789A4">
      <w:pPr>
        <w:pageBreakBefore w:val="0"/>
        <w:kinsoku/>
        <w:wordWrap/>
        <w:overflowPunct/>
        <w:topLinePunct w:val="0"/>
        <w:autoSpaceDE/>
        <w:autoSpaceDN/>
        <w:bidi w:val="0"/>
        <w:adjustRightInd/>
        <w:spacing w:line="480" w:lineRule="exact"/>
        <w:ind w:firstLine="420"/>
        <w:contextualSpacing/>
        <w:textAlignment w:val="auto"/>
        <w:rPr>
          <w:rFonts w:ascii="宋体" w:hAnsi="宋体" w:eastAsia="宋体"/>
          <w:sz w:val="24"/>
          <w:szCs w:val="24"/>
        </w:rPr>
      </w:pPr>
      <w:r>
        <w:rPr>
          <w:rFonts w:hint="eastAsia" w:ascii="宋体" w:hAnsi="宋体" w:eastAsia="宋体" w:cs="仿宋_GB2312"/>
          <w:sz w:val="24"/>
          <w:szCs w:val="24"/>
        </w:rPr>
        <w:t>（</w:t>
      </w:r>
      <w:r>
        <w:rPr>
          <w:rFonts w:ascii="宋体" w:hAnsi="宋体" w:eastAsia="宋体" w:cs="仿宋_GB2312"/>
          <w:sz w:val="24"/>
          <w:szCs w:val="24"/>
        </w:rPr>
        <w:t>2）</w:t>
      </w:r>
      <w:r>
        <w:rPr>
          <w:rFonts w:hint="eastAsia" w:ascii="宋体" w:hAnsi="宋体" w:eastAsia="宋体" w:cs="仿宋_GB2312"/>
          <w:sz w:val="24"/>
          <w:szCs w:val="24"/>
        </w:rPr>
        <w:t>医政医管数据采集系统：市卫健委</w:t>
      </w:r>
      <w:r>
        <w:rPr>
          <w:rFonts w:ascii="宋体" w:hAnsi="宋体" w:eastAsia="宋体" w:cs="仿宋_GB2312"/>
          <w:sz w:val="24"/>
          <w:szCs w:val="24"/>
        </w:rPr>
        <w:t>5个</w:t>
      </w:r>
      <w:r>
        <w:rPr>
          <w:rFonts w:hint="eastAsia" w:ascii="宋体" w:hAnsi="宋体" w:eastAsia="宋体" w:cs="仿宋_GB2312"/>
          <w:sz w:val="24"/>
          <w:szCs w:val="24"/>
        </w:rPr>
        <w:t>市级用户，北京</w:t>
      </w:r>
      <w:r>
        <w:rPr>
          <w:rFonts w:ascii="宋体" w:hAnsi="宋体" w:eastAsia="宋体" w:cs="仿宋_GB2312"/>
          <w:sz w:val="24"/>
          <w:szCs w:val="24"/>
        </w:rPr>
        <w:t>172家有发热门诊的医院，16个归口单位</w:t>
      </w:r>
      <w:r>
        <w:rPr>
          <w:rFonts w:hint="eastAsia" w:ascii="宋体" w:hAnsi="宋体" w:eastAsia="宋体" w:cs="仿宋_GB2312"/>
          <w:sz w:val="24"/>
          <w:szCs w:val="24"/>
        </w:rPr>
        <w:t>。</w:t>
      </w:r>
    </w:p>
    <w:p w14:paraId="130DC7CD">
      <w:pPr>
        <w:pStyle w:val="20"/>
        <w:pageBreakBefore w:val="0"/>
        <w:numPr>
          <w:ilvl w:val="0"/>
          <w:numId w:val="2"/>
        </w:numPr>
        <w:kinsoku/>
        <w:wordWrap/>
        <w:overflowPunct/>
        <w:topLinePunct w:val="0"/>
        <w:autoSpaceDE/>
        <w:autoSpaceDN/>
        <w:bidi w:val="0"/>
        <w:adjustRightInd/>
        <w:spacing w:line="480" w:lineRule="exact"/>
        <w:ind w:firstLineChars="0"/>
        <w:contextualSpacing/>
        <w:textAlignment w:val="auto"/>
        <w:rPr>
          <w:rFonts w:ascii="宋体" w:hAnsi="宋体" w:eastAsia="宋体" w:cs="仿宋_GB2312"/>
          <w:sz w:val="24"/>
          <w:szCs w:val="24"/>
        </w:rPr>
      </w:pPr>
      <w:r>
        <w:rPr>
          <w:rFonts w:hint="eastAsia" w:ascii="宋体" w:hAnsi="宋体" w:eastAsia="宋体" w:cs="仿宋_GB2312"/>
          <w:sz w:val="24"/>
          <w:szCs w:val="24"/>
        </w:rPr>
        <w:t>服务周期及地点</w:t>
      </w:r>
    </w:p>
    <w:p w14:paraId="00CE5FF0">
      <w:pPr>
        <w:pStyle w:val="20"/>
        <w:pageBreakBefore w:val="0"/>
        <w:kinsoku/>
        <w:wordWrap/>
        <w:overflowPunct/>
        <w:topLinePunct w:val="0"/>
        <w:autoSpaceDE/>
        <w:autoSpaceDN/>
        <w:bidi w:val="0"/>
        <w:adjustRightInd/>
        <w:spacing w:line="480" w:lineRule="exact"/>
        <w:ind w:left="842" w:firstLine="0" w:firstLineChars="0"/>
        <w:contextualSpacing/>
        <w:textAlignment w:val="auto"/>
        <w:rPr>
          <w:rFonts w:ascii="宋体" w:hAnsi="宋体" w:eastAsia="宋体" w:cs="仿宋_GB2312"/>
          <w:sz w:val="24"/>
          <w:szCs w:val="24"/>
        </w:rPr>
      </w:pPr>
      <w:r>
        <w:rPr>
          <w:rFonts w:hint="eastAsia" w:ascii="宋体" w:hAnsi="宋体" w:eastAsia="宋体" w:cs="仿宋_GB2312"/>
          <w:sz w:val="24"/>
          <w:szCs w:val="24"/>
        </w:rPr>
        <w:t>本项目交付（实施）周期为一年。服务地点为北京市。</w:t>
      </w:r>
    </w:p>
    <w:p w14:paraId="52E047CA">
      <w:pPr>
        <w:pStyle w:val="2"/>
        <w:pageBreakBefore w:val="0"/>
        <w:kinsoku/>
        <w:wordWrap/>
        <w:overflowPunct/>
        <w:topLinePunct w:val="0"/>
        <w:autoSpaceDE/>
        <w:autoSpaceDN/>
        <w:bidi w:val="0"/>
        <w:adjustRightInd/>
        <w:snapToGrid w:val="0"/>
        <w:spacing w:before="0" w:after="0" w:line="480" w:lineRule="exact"/>
        <w:textAlignment w:val="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三、具体要求</w:t>
      </w:r>
    </w:p>
    <w:p w14:paraId="4763BCF8">
      <w:pPr>
        <w:pageBreakBefore w:val="0"/>
        <w:kinsoku/>
        <w:wordWrap/>
        <w:overflowPunct/>
        <w:topLinePunct w:val="0"/>
        <w:autoSpaceDE/>
        <w:autoSpaceDN/>
        <w:bidi w:val="0"/>
        <w:adjustRightInd/>
        <w:spacing w:line="480" w:lineRule="exact"/>
        <w:ind w:firstLine="482" w:firstLineChars="200"/>
        <w:textAlignment w:val="auto"/>
        <w:rPr>
          <w:rFonts w:ascii="宋体" w:hAnsi="宋体" w:eastAsia="宋体"/>
          <w:b/>
          <w:sz w:val="24"/>
          <w:szCs w:val="28"/>
        </w:rPr>
      </w:pPr>
      <w:r>
        <w:rPr>
          <w:rFonts w:ascii="宋体" w:hAnsi="宋体" w:eastAsia="宋体" w:cs="Times New Roman"/>
          <w:b/>
          <w:sz w:val="24"/>
          <w:szCs w:val="28"/>
        </w:rPr>
        <w:t>(</w:t>
      </w:r>
      <w:r>
        <w:rPr>
          <w:rFonts w:hint="eastAsia" w:ascii="宋体" w:hAnsi="宋体" w:eastAsia="宋体" w:cs="Times New Roman"/>
          <w:b/>
          <w:sz w:val="24"/>
          <w:szCs w:val="28"/>
        </w:rPr>
        <w:t>一</w:t>
      </w:r>
      <w:r>
        <w:rPr>
          <w:rFonts w:ascii="宋体" w:hAnsi="宋体" w:eastAsia="宋体" w:cs="Times New Roman"/>
          <w:b/>
          <w:sz w:val="24"/>
          <w:szCs w:val="28"/>
        </w:rPr>
        <w:t>)承担单位需具备</w:t>
      </w:r>
    </w:p>
    <w:p w14:paraId="61B22614">
      <w:pPr>
        <w:pStyle w:val="40"/>
        <w:pageBreakBefore w:val="0"/>
        <w:kinsoku/>
        <w:wordWrap/>
        <w:overflowPunct/>
        <w:topLinePunct w:val="0"/>
        <w:autoSpaceDE/>
        <w:autoSpaceDN/>
        <w:bidi w:val="0"/>
        <w:adjustRightInd/>
        <w:spacing w:before="156" w:line="480" w:lineRule="exact"/>
        <w:ind w:firstLine="480"/>
        <w:jc w:val="left"/>
        <w:textAlignment w:val="auto"/>
        <w:rPr>
          <w:rFonts w:ascii="宋体" w:hAnsi="宋体"/>
          <w:color w:val="000000" w:themeColor="text1"/>
          <w:kern w:val="2"/>
          <w:highlight w:val="none"/>
          <w14:textFill>
            <w14:solidFill>
              <w14:schemeClr w14:val="tx1"/>
            </w14:solidFill>
          </w14:textFill>
        </w:rPr>
      </w:pPr>
      <w:r>
        <w:rPr>
          <w:rFonts w:hint="eastAsia" w:ascii="宋体" w:hAnsi="宋体" w:cs="宋体"/>
          <w:highlight w:val="none"/>
        </w:rPr>
        <w:t>在中华人民共和国境内注册，具有独立承担民事责任的能力和经营许可的法人。承担方能提供2024年1月至今任意一个月社保缴纳证明和依法纳税证明，承担方在参加本次遴选活动前三年中没有重大违法记录，承担方不得被列入失信被执行人、重大税收违法案件当事人名单、政府采购严重违法失信行为记录名单，否则承担方的响应文件将被拒绝，单位负责人为同一人或者存在直接控股、管理关系的不同承担方， 不得同时参加同一合同下的采购活动，承担方需提供主要股东或出资人信息，与承担方存在控股、管理等关联关系信息（格式见附件）。</w:t>
      </w:r>
    </w:p>
    <w:p w14:paraId="2873C62E">
      <w:pPr>
        <w:pageBreakBefore w:val="0"/>
        <w:kinsoku/>
        <w:wordWrap/>
        <w:overflowPunct/>
        <w:topLinePunct w:val="0"/>
        <w:autoSpaceDE/>
        <w:autoSpaceDN/>
        <w:bidi w:val="0"/>
        <w:adjustRightInd/>
        <w:spacing w:line="480" w:lineRule="exact"/>
        <w:ind w:firstLine="482" w:firstLineChars="200"/>
        <w:textAlignment w:val="auto"/>
        <w:rPr>
          <w:rFonts w:ascii="宋体" w:hAnsi="宋体" w:eastAsia="宋体"/>
          <w:b/>
          <w:sz w:val="24"/>
          <w:szCs w:val="28"/>
        </w:rPr>
      </w:pPr>
      <w:r>
        <w:rPr>
          <w:rFonts w:hint="eastAsia" w:ascii="宋体" w:hAnsi="宋体" w:eastAsia="宋体" w:cs="Times New Roman"/>
          <w:b/>
          <w:sz w:val="24"/>
          <w:szCs w:val="28"/>
        </w:rPr>
        <w:t>（二）</w:t>
      </w:r>
      <w:r>
        <w:rPr>
          <w:rFonts w:ascii="宋体" w:hAnsi="宋体" w:eastAsia="宋体" w:cs="Times New Roman"/>
          <w:b/>
          <w:sz w:val="24"/>
          <w:szCs w:val="28"/>
        </w:rPr>
        <w:t>人力保障</w:t>
      </w:r>
    </w:p>
    <w:p w14:paraId="4480C500">
      <w:pPr>
        <w:pageBreakBefore w:val="0"/>
        <w:kinsoku/>
        <w:wordWrap/>
        <w:overflowPunct/>
        <w:topLinePunct w:val="0"/>
        <w:autoSpaceDE/>
        <w:autoSpaceDN/>
        <w:bidi w:val="0"/>
        <w:adjustRightInd/>
        <w:spacing w:line="480" w:lineRule="exact"/>
        <w:ind w:firstLine="566" w:firstLineChars="236"/>
        <w:jc w:val="left"/>
        <w:textAlignment w:val="auto"/>
        <w:rPr>
          <w:rFonts w:ascii="宋体" w:hAnsi="宋体" w:eastAsia="宋体" w:cs="仿宋_GB2312"/>
          <w:sz w:val="24"/>
          <w:szCs w:val="24"/>
        </w:rPr>
      </w:pPr>
      <w:r>
        <w:rPr>
          <w:rFonts w:hint="eastAsia" w:ascii="宋体" w:hAnsi="宋体" w:eastAsia="宋体"/>
          <w:color w:val="000000"/>
          <w:sz w:val="24"/>
          <w:szCs w:val="24"/>
        </w:rPr>
        <w:t>保障系统运行正常、可靠、稳定，针对本项目要有明确的服务团队</w:t>
      </w:r>
      <w:r>
        <w:rPr>
          <w:rFonts w:hint="eastAsia" w:ascii="宋体" w:hAnsi="宋体" w:eastAsia="宋体"/>
          <w:bCs/>
          <w:color w:val="000000"/>
          <w:sz w:val="24"/>
          <w:szCs w:val="24"/>
        </w:rPr>
        <w:t>。运维团队</w:t>
      </w:r>
      <w:r>
        <w:rPr>
          <w:rFonts w:hint="eastAsia" w:ascii="宋体" w:hAnsi="宋体" w:eastAsia="宋体"/>
          <w:color w:val="000000"/>
          <w:sz w:val="24"/>
          <w:szCs w:val="24"/>
        </w:rPr>
        <w:t>必须遵守遴选人的各项规章制定，严格按照工作规范组织进行运维工作，制定切实可行的措施，并对运维人员进行管理和思想教育，加强保密意识，安全生产意识，保障人员安全，设备安全，生产安全。未经遴选人同意，不得泄露项目相关信息。</w:t>
      </w:r>
    </w:p>
    <w:p w14:paraId="6318B205">
      <w:pPr>
        <w:pageBreakBefore w:val="0"/>
        <w:kinsoku/>
        <w:wordWrap/>
        <w:overflowPunct/>
        <w:topLinePunct w:val="0"/>
        <w:autoSpaceDE/>
        <w:autoSpaceDN/>
        <w:bidi w:val="0"/>
        <w:adjustRightInd/>
        <w:spacing w:line="480" w:lineRule="exact"/>
        <w:ind w:firstLine="482" w:firstLineChars="200"/>
        <w:textAlignment w:val="auto"/>
        <w:rPr>
          <w:rFonts w:ascii="宋体" w:hAnsi="宋体" w:eastAsia="宋体" w:cs="Times New Roman"/>
          <w:b/>
          <w:sz w:val="24"/>
          <w:szCs w:val="28"/>
        </w:rPr>
      </w:pPr>
      <w:r>
        <w:rPr>
          <w:rFonts w:ascii="宋体" w:hAnsi="宋体" w:eastAsia="宋体" w:cs="Times New Roman"/>
          <w:b/>
          <w:sz w:val="24"/>
          <w:szCs w:val="28"/>
        </w:rPr>
        <w:t>（三）服务保障</w:t>
      </w:r>
    </w:p>
    <w:p w14:paraId="7E263836">
      <w:pPr>
        <w:pageBreakBefore w:val="0"/>
        <w:kinsoku/>
        <w:wordWrap/>
        <w:overflowPunct/>
        <w:topLinePunct w:val="0"/>
        <w:autoSpaceDE/>
        <w:autoSpaceDN/>
        <w:bidi w:val="0"/>
        <w:adjustRightInd/>
        <w:spacing w:line="480" w:lineRule="exact"/>
        <w:ind w:firstLine="566" w:firstLineChars="236"/>
        <w:jc w:val="left"/>
        <w:textAlignment w:val="auto"/>
        <w:rPr>
          <w:rFonts w:ascii="宋体" w:hAnsi="宋体" w:eastAsia="宋体"/>
          <w:color w:val="000000"/>
          <w:sz w:val="24"/>
          <w:szCs w:val="24"/>
        </w:rPr>
      </w:pPr>
      <w:r>
        <w:rPr>
          <w:rFonts w:hint="eastAsia" w:ascii="宋体" w:hAnsi="宋体" w:eastAsia="宋体"/>
          <w:color w:val="000000"/>
          <w:sz w:val="24"/>
          <w:szCs w:val="24"/>
        </w:rPr>
        <w:t>（</w:t>
      </w:r>
      <w:r>
        <w:rPr>
          <w:rFonts w:ascii="宋体" w:hAnsi="宋体" w:eastAsia="宋体"/>
          <w:color w:val="000000"/>
          <w:sz w:val="24"/>
          <w:szCs w:val="24"/>
        </w:rPr>
        <w:t>1）时间要求：1年；</w:t>
      </w:r>
    </w:p>
    <w:p w14:paraId="664C65F7">
      <w:pPr>
        <w:pageBreakBefore w:val="0"/>
        <w:kinsoku/>
        <w:wordWrap/>
        <w:overflowPunct/>
        <w:topLinePunct w:val="0"/>
        <w:autoSpaceDE/>
        <w:autoSpaceDN/>
        <w:bidi w:val="0"/>
        <w:adjustRightInd/>
        <w:spacing w:line="480" w:lineRule="exact"/>
        <w:ind w:firstLine="566" w:firstLineChars="236"/>
        <w:jc w:val="left"/>
        <w:textAlignment w:val="auto"/>
        <w:rPr>
          <w:rFonts w:ascii="宋体" w:hAnsi="宋体" w:eastAsia="宋体"/>
          <w:sz w:val="24"/>
          <w:szCs w:val="24"/>
        </w:rPr>
      </w:pPr>
      <w:r>
        <w:rPr>
          <w:rFonts w:hint="eastAsia" w:ascii="宋体" w:hAnsi="宋体" w:eastAsia="宋体"/>
          <w:color w:val="000000"/>
          <w:sz w:val="24"/>
          <w:szCs w:val="24"/>
        </w:rPr>
        <w:t>（</w:t>
      </w:r>
      <w:r>
        <w:rPr>
          <w:rFonts w:ascii="宋体" w:hAnsi="宋体" w:eastAsia="宋体"/>
          <w:color w:val="000000"/>
          <w:sz w:val="24"/>
          <w:szCs w:val="24"/>
        </w:rPr>
        <w:t>2）响应及故障处理时间要求：</w:t>
      </w:r>
      <w:r>
        <w:rPr>
          <w:rFonts w:hint="eastAsia" w:ascii="宋体" w:hAnsi="宋体" w:eastAsia="宋体"/>
          <w:color w:val="000000"/>
          <w:sz w:val="24"/>
          <w:szCs w:val="24"/>
        </w:rPr>
        <w:t>承办方应提供</w:t>
      </w:r>
      <w:r>
        <w:rPr>
          <w:rFonts w:ascii="宋体" w:hAnsi="宋体" w:eastAsia="宋体"/>
          <w:color w:val="000000"/>
          <w:sz w:val="24"/>
          <w:szCs w:val="24"/>
        </w:rPr>
        <w:t>7天*24小时电话热线支持和传真服务，若应用系统故障，</w:t>
      </w:r>
      <w:r>
        <w:rPr>
          <w:rFonts w:hint="eastAsia" w:ascii="宋体" w:hAnsi="宋体" w:eastAsia="宋体"/>
          <w:color w:val="000000"/>
          <w:sz w:val="24"/>
          <w:szCs w:val="24"/>
        </w:rPr>
        <w:t>承办方承诺</w:t>
      </w:r>
      <w:r>
        <w:rPr>
          <w:rFonts w:ascii="宋体" w:hAnsi="宋体" w:eastAsia="宋体"/>
          <w:color w:val="000000"/>
          <w:sz w:val="24"/>
          <w:szCs w:val="24"/>
        </w:rPr>
        <w:t>0.5小时应答及处理，4小时恢复。同时配合</w:t>
      </w:r>
      <w:r>
        <w:rPr>
          <w:rFonts w:hint="eastAsia" w:ascii="宋体" w:hAnsi="宋体" w:eastAsia="宋体"/>
          <w:color w:val="000000"/>
          <w:sz w:val="24"/>
          <w:szCs w:val="24"/>
        </w:rPr>
        <w:t>遴选方开展安全、保密等相关工作。</w:t>
      </w:r>
    </w:p>
    <w:p w14:paraId="7AEC3E76">
      <w:pPr>
        <w:pageBreakBefore w:val="0"/>
        <w:kinsoku/>
        <w:wordWrap/>
        <w:overflowPunct/>
        <w:topLinePunct w:val="0"/>
        <w:autoSpaceDE/>
        <w:autoSpaceDN/>
        <w:bidi w:val="0"/>
        <w:adjustRightInd/>
        <w:spacing w:line="480" w:lineRule="exact"/>
        <w:ind w:firstLine="480" w:firstLineChars="200"/>
        <w:textAlignment w:val="auto"/>
        <w:rPr>
          <w:rFonts w:ascii="宋体" w:hAnsi="宋体" w:eastAsia="宋体" w:cs="Times New Roman"/>
          <w:sz w:val="24"/>
          <w:szCs w:val="28"/>
        </w:rPr>
      </w:pPr>
      <w:r>
        <w:rPr>
          <w:rFonts w:hint="eastAsia" w:ascii="宋体" w:hAnsi="宋体" w:eastAsia="宋体" w:cs="Times New Roman"/>
          <w:sz w:val="24"/>
          <w:szCs w:val="28"/>
        </w:rPr>
        <w:t>（</w:t>
      </w:r>
      <w:r>
        <w:rPr>
          <w:rFonts w:ascii="宋体" w:hAnsi="宋体" w:eastAsia="宋体" w:cs="Times New Roman"/>
          <w:sz w:val="24"/>
          <w:szCs w:val="28"/>
        </w:rPr>
        <w:t>3）中标方应根据用户要求，配合用户方定期完成应急演练工作，包括：应急演练方案编制、应急演练脚本编制、应急演练环境部署、应急演练工作开展及应急演练总结等。</w:t>
      </w:r>
    </w:p>
    <w:p w14:paraId="746ACA63">
      <w:pPr>
        <w:pageBreakBefore w:val="0"/>
        <w:kinsoku/>
        <w:wordWrap/>
        <w:overflowPunct/>
        <w:topLinePunct w:val="0"/>
        <w:autoSpaceDE/>
        <w:autoSpaceDN/>
        <w:bidi w:val="0"/>
        <w:adjustRightInd/>
        <w:spacing w:line="480" w:lineRule="exact"/>
        <w:ind w:firstLine="480" w:firstLineChars="200"/>
        <w:textAlignment w:val="auto"/>
        <w:rPr>
          <w:rFonts w:ascii="宋体" w:hAnsi="宋体" w:eastAsia="宋体" w:cs="Times New Roman"/>
          <w:sz w:val="24"/>
          <w:szCs w:val="28"/>
        </w:rPr>
      </w:pPr>
      <w:r>
        <w:rPr>
          <w:rFonts w:hint="eastAsia" w:ascii="宋体" w:hAnsi="宋体" w:eastAsia="宋体" w:cs="Times New Roman"/>
          <w:sz w:val="24"/>
          <w:szCs w:val="28"/>
        </w:rPr>
        <w:t>（</w:t>
      </w:r>
      <w:r>
        <w:rPr>
          <w:rFonts w:ascii="宋体" w:hAnsi="宋体" w:eastAsia="宋体" w:cs="Times New Roman"/>
          <w:sz w:val="24"/>
          <w:szCs w:val="28"/>
        </w:rPr>
        <w:t>4）重大节假日期间，要求制定运</w:t>
      </w:r>
      <w:r>
        <w:rPr>
          <w:rFonts w:hint="eastAsia" w:ascii="宋体" w:hAnsi="宋体" w:eastAsia="宋体" w:cs="Times New Roman"/>
          <w:sz w:val="24"/>
          <w:szCs w:val="28"/>
        </w:rPr>
        <w:t>维人员排班表，安排运维工作人员现场值守，保证业务应用系统的健康稳定运行。</w:t>
      </w:r>
    </w:p>
    <w:p w14:paraId="1AE43AAE">
      <w:pPr>
        <w:pageBreakBefore w:val="0"/>
        <w:kinsoku/>
        <w:wordWrap/>
        <w:overflowPunct/>
        <w:topLinePunct w:val="0"/>
        <w:autoSpaceDE/>
        <w:autoSpaceDN/>
        <w:bidi w:val="0"/>
        <w:adjustRightInd/>
        <w:spacing w:line="480" w:lineRule="exact"/>
        <w:ind w:firstLine="480" w:firstLineChars="200"/>
        <w:textAlignment w:val="auto"/>
        <w:rPr>
          <w:rFonts w:ascii="宋体" w:hAnsi="宋体" w:eastAsia="宋体" w:cs="Times New Roman"/>
          <w:sz w:val="24"/>
          <w:szCs w:val="28"/>
        </w:rPr>
      </w:pPr>
      <w:r>
        <w:rPr>
          <w:rFonts w:hint="eastAsia" w:ascii="宋体" w:hAnsi="宋体" w:eastAsia="宋体" w:cs="Times New Roman"/>
          <w:sz w:val="24"/>
          <w:szCs w:val="28"/>
        </w:rPr>
        <w:t>（</w:t>
      </w:r>
      <w:r>
        <w:rPr>
          <w:rFonts w:ascii="宋体" w:hAnsi="宋体" w:eastAsia="宋体" w:cs="Times New Roman"/>
          <w:sz w:val="24"/>
          <w:szCs w:val="28"/>
        </w:rPr>
        <w:t>5）中标人应根据招标人的运维项目管理办法、《北京市接诉即办条例》接受监督管理，中标人接受招标人的</w:t>
      </w:r>
      <w:r>
        <w:rPr>
          <w:rFonts w:hint="eastAsia" w:ascii="宋体" w:hAnsi="宋体" w:eastAsia="宋体" w:cs="Times New Roman"/>
          <w:sz w:val="24"/>
          <w:szCs w:val="28"/>
        </w:rPr>
        <w:t>接诉即办考评机制，定期点评、通报考评结果，确保响应率、解决率和满意率均达到</w:t>
      </w:r>
      <w:r>
        <w:rPr>
          <w:rFonts w:ascii="宋体" w:hAnsi="宋体" w:eastAsia="宋体" w:cs="Times New Roman"/>
          <w:sz w:val="24"/>
          <w:szCs w:val="28"/>
        </w:rPr>
        <w:t xml:space="preserve"> 100%，如未达到上述标准，则进行相应处罚，具体罚则、罚金以合同约定为准。</w:t>
      </w:r>
    </w:p>
    <w:p w14:paraId="54DD819F">
      <w:pPr>
        <w:pageBreakBefore w:val="0"/>
        <w:kinsoku/>
        <w:wordWrap/>
        <w:overflowPunct/>
        <w:topLinePunct w:val="0"/>
        <w:autoSpaceDE/>
        <w:autoSpaceDN/>
        <w:bidi w:val="0"/>
        <w:adjustRightInd/>
        <w:spacing w:line="480" w:lineRule="exact"/>
        <w:ind w:firstLine="482" w:firstLineChars="200"/>
        <w:textAlignment w:val="auto"/>
        <w:rPr>
          <w:rFonts w:ascii="宋体" w:hAnsi="宋体" w:eastAsia="宋体" w:cs="Times New Roman"/>
          <w:b/>
          <w:sz w:val="24"/>
          <w:szCs w:val="28"/>
        </w:rPr>
      </w:pPr>
      <w:r>
        <w:rPr>
          <w:rFonts w:hint="eastAsia" w:ascii="宋体" w:hAnsi="宋体" w:eastAsia="宋体" w:cs="Times New Roman"/>
          <w:b/>
          <w:sz w:val="24"/>
          <w:szCs w:val="28"/>
        </w:rPr>
        <w:t>（四）</w:t>
      </w:r>
      <w:r>
        <w:rPr>
          <w:rFonts w:ascii="宋体" w:hAnsi="宋体" w:eastAsia="宋体" w:cs="Times New Roman"/>
          <w:b/>
          <w:sz w:val="24"/>
          <w:szCs w:val="28"/>
        </w:rPr>
        <w:tab/>
      </w:r>
      <w:r>
        <w:rPr>
          <w:rFonts w:hint="eastAsia" w:ascii="宋体" w:hAnsi="宋体" w:eastAsia="宋体" w:cs="Times New Roman"/>
          <w:b/>
          <w:sz w:val="24"/>
          <w:szCs w:val="28"/>
        </w:rPr>
        <w:t>验收标准</w:t>
      </w:r>
    </w:p>
    <w:p w14:paraId="33C824BD">
      <w:pPr>
        <w:pageBreakBefore w:val="0"/>
        <w:kinsoku/>
        <w:wordWrap/>
        <w:overflowPunct/>
        <w:topLinePunct w:val="0"/>
        <w:autoSpaceDE/>
        <w:autoSpaceDN/>
        <w:bidi w:val="0"/>
        <w:adjustRightInd/>
        <w:spacing w:line="480" w:lineRule="exact"/>
        <w:ind w:firstLine="480" w:firstLineChars="200"/>
        <w:textAlignment w:val="auto"/>
        <w:rPr>
          <w:rFonts w:ascii="宋体" w:hAnsi="宋体" w:eastAsia="宋体" w:cs="Times New Roman"/>
          <w:sz w:val="24"/>
          <w:szCs w:val="28"/>
        </w:rPr>
      </w:pPr>
      <w:r>
        <w:rPr>
          <w:rFonts w:hint="eastAsia" w:ascii="宋体" w:hAnsi="宋体" w:eastAsia="宋体" w:cs="Times New Roman"/>
          <w:sz w:val="24"/>
          <w:szCs w:val="28"/>
        </w:rPr>
        <w:t>（</w:t>
      </w:r>
      <w:r>
        <w:rPr>
          <w:rFonts w:ascii="宋体" w:hAnsi="宋体" w:eastAsia="宋体" w:cs="Times New Roman"/>
          <w:sz w:val="24"/>
          <w:szCs w:val="28"/>
        </w:rPr>
        <w:t xml:space="preserve">1）按要求完成全年运维工作； </w:t>
      </w:r>
    </w:p>
    <w:p w14:paraId="778F041F">
      <w:pPr>
        <w:pageBreakBefore w:val="0"/>
        <w:kinsoku/>
        <w:wordWrap/>
        <w:overflowPunct/>
        <w:topLinePunct w:val="0"/>
        <w:autoSpaceDE/>
        <w:autoSpaceDN/>
        <w:bidi w:val="0"/>
        <w:adjustRightInd/>
        <w:spacing w:line="480" w:lineRule="exact"/>
        <w:ind w:firstLine="480" w:firstLineChars="200"/>
        <w:textAlignment w:val="auto"/>
        <w:rPr>
          <w:rFonts w:ascii="宋体" w:hAnsi="宋体" w:eastAsia="宋体" w:cs="Times New Roman"/>
          <w:sz w:val="24"/>
          <w:szCs w:val="28"/>
        </w:rPr>
      </w:pPr>
      <w:r>
        <w:rPr>
          <w:rFonts w:hint="eastAsia" w:ascii="宋体" w:hAnsi="宋体" w:eastAsia="宋体" w:cs="Times New Roman"/>
          <w:sz w:val="24"/>
          <w:szCs w:val="28"/>
        </w:rPr>
        <w:t>（</w:t>
      </w:r>
      <w:r>
        <w:rPr>
          <w:rFonts w:ascii="宋体" w:hAnsi="宋体" w:eastAsia="宋体" w:cs="Times New Roman"/>
          <w:sz w:val="24"/>
          <w:szCs w:val="28"/>
        </w:rPr>
        <w:t xml:space="preserve">2）按要求在规定时间内提交季度运维材料； </w:t>
      </w:r>
    </w:p>
    <w:p w14:paraId="41CBE52D">
      <w:pPr>
        <w:pageBreakBefore w:val="0"/>
        <w:kinsoku/>
        <w:wordWrap/>
        <w:overflowPunct/>
        <w:topLinePunct w:val="0"/>
        <w:autoSpaceDE/>
        <w:autoSpaceDN/>
        <w:bidi w:val="0"/>
        <w:adjustRightInd/>
        <w:spacing w:line="480" w:lineRule="exact"/>
        <w:ind w:firstLine="480" w:firstLineChars="200"/>
        <w:textAlignment w:val="auto"/>
        <w:rPr>
          <w:rFonts w:ascii="宋体" w:hAnsi="宋体" w:eastAsia="宋体" w:cs="Times New Roman"/>
          <w:sz w:val="24"/>
          <w:szCs w:val="28"/>
        </w:rPr>
      </w:pPr>
      <w:r>
        <w:rPr>
          <w:rFonts w:hint="eastAsia" w:ascii="宋体" w:hAnsi="宋体" w:eastAsia="宋体" w:cs="Times New Roman"/>
          <w:sz w:val="24"/>
          <w:szCs w:val="28"/>
        </w:rPr>
        <w:t>（</w:t>
      </w:r>
      <w:r>
        <w:rPr>
          <w:rFonts w:ascii="宋体" w:hAnsi="宋体" w:eastAsia="宋体" w:cs="Times New Roman"/>
          <w:sz w:val="24"/>
          <w:szCs w:val="28"/>
        </w:rPr>
        <w:t xml:space="preserve">3）根据季度评审意见在规定时间内完成问题整改； </w:t>
      </w:r>
    </w:p>
    <w:p w14:paraId="2631BDCB">
      <w:pPr>
        <w:pageBreakBefore w:val="0"/>
        <w:kinsoku/>
        <w:wordWrap/>
        <w:overflowPunct/>
        <w:topLinePunct w:val="0"/>
        <w:autoSpaceDE/>
        <w:autoSpaceDN/>
        <w:bidi w:val="0"/>
        <w:adjustRightInd/>
        <w:spacing w:line="480" w:lineRule="exact"/>
        <w:ind w:firstLine="480" w:firstLineChars="200"/>
        <w:textAlignment w:val="auto"/>
        <w:rPr>
          <w:rFonts w:ascii="宋体" w:hAnsi="宋体" w:eastAsia="宋体" w:cs="Times New Roman"/>
          <w:sz w:val="24"/>
          <w:szCs w:val="28"/>
        </w:rPr>
      </w:pPr>
      <w:r>
        <w:rPr>
          <w:rFonts w:hint="eastAsia" w:ascii="宋体" w:hAnsi="宋体" w:eastAsia="宋体" w:cs="Times New Roman"/>
          <w:sz w:val="24"/>
          <w:szCs w:val="28"/>
        </w:rPr>
        <w:t>（</w:t>
      </w:r>
      <w:r>
        <w:rPr>
          <w:rFonts w:ascii="宋体" w:hAnsi="宋体" w:eastAsia="宋体" w:cs="Times New Roman"/>
          <w:sz w:val="24"/>
          <w:szCs w:val="28"/>
        </w:rPr>
        <w:t>4）通过年度专家评审。</w:t>
      </w:r>
    </w:p>
    <w:p w14:paraId="726255FC">
      <w:pPr>
        <w:pageBreakBefore w:val="0"/>
        <w:kinsoku/>
        <w:wordWrap/>
        <w:overflowPunct/>
        <w:topLinePunct w:val="0"/>
        <w:autoSpaceDE/>
        <w:autoSpaceDN/>
        <w:bidi w:val="0"/>
        <w:adjustRightInd/>
        <w:spacing w:line="480" w:lineRule="exact"/>
        <w:ind w:firstLine="482" w:firstLineChars="200"/>
        <w:textAlignment w:val="auto"/>
        <w:rPr>
          <w:rFonts w:ascii="宋体" w:hAnsi="宋体" w:eastAsia="宋体" w:cs="Times New Roman"/>
          <w:b/>
          <w:sz w:val="24"/>
          <w:szCs w:val="28"/>
        </w:rPr>
      </w:pPr>
      <w:r>
        <w:rPr>
          <w:rFonts w:hint="eastAsia" w:ascii="宋体" w:hAnsi="宋体" w:eastAsia="宋体" w:cs="Times New Roman"/>
          <w:b/>
          <w:sz w:val="24"/>
          <w:szCs w:val="28"/>
        </w:rPr>
        <w:t>（五）</w:t>
      </w:r>
      <w:r>
        <w:rPr>
          <w:rFonts w:ascii="宋体" w:hAnsi="宋体" w:eastAsia="宋体" w:cs="Times New Roman"/>
          <w:b/>
          <w:sz w:val="24"/>
          <w:szCs w:val="28"/>
        </w:rPr>
        <w:tab/>
      </w:r>
      <w:r>
        <w:rPr>
          <w:rFonts w:hint="eastAsia" w:ascii="宋体" w:hAnsi="宋体" w:eastAsia="宋体" w:cs="Times New Roman"/>
          <w:b/>
          <w:sz w:val="24"/>
          <w:szCs w:val="28"/>
        </w:rPr>
        <w:t>交付清单</w:t>
      </w:r>
    </w:p>
    <w:p w14:paraId="11E0A182">
      <w:pPr>
        <w:pageBreakBefore w:val="0"/>
        <w:kinsoku/>
        <w:wordWrap/>
        <w:overflowPunct/>
        <w:topLinePunct w:val="0"/>
        <w:autoSpaceDE/>
        <w:autoSpaceDN/>
        <w:bidi w:val="0"/>
        <w:adjustRightInd/>
        <w:spacing w:line="480" w:lineRule="exact"/>
        <w:ind w:firstLine="480" w:firstLineChars="200"/>
        <w:textAlignment w:val="auto"/>
        <w:rPr>
          <w:rFonts w:ascii="宋体" w:hAnsi="宋体" w:eastAsia="宋体" w:cs="Times New Roman"/>
          <w:sz w:val="24"/>
          <w:szCs w:val="28"/>
        </w:rPr>
      </w:pPr>
      <w:r>
        <w:rPr>
          <w:rFonts w:hint="eastAsia" w:ascii="宋体" w:hAnsi="宋体" w:eastAsia="宋体" w:cs="Times New Roman"/>
          <w:sz w:val="24"/>
          <w:szCs w:val="28"/>
        </w:rPr>
        <w:t>运维工作记录文档，包括但不局限于以下内容：</w:t>
      </w:r>
      <w:r>
        <w:rPr>
          <w:rFonts w:ascii="宋体" w:hAnsi="宋体" w:eastAsia="宋体" w:cs="Times New Roman"/>
          <w:sz w:val="24"/>
          <w:szCs w:val="28"/>
        </w:rPr>
        <w:t xml:space="preserve"> </w:t>
      </w:r>
    </w:p>
    <w:p w14:paraId="718C89DE">
      <w:pPr>
        <w:pageBreakBefore w:val="0"/>
        <w:kinsoku/>
        <w:wordWrap/>
        <w:overflowPunct/>
        <w:topLinePunct w:val="0"/>
        <w:autoSpaceDE/>
        <w:autoSpaceDN/>
        <w:bidi w:val="0"/>
        <w:adjustRightInd/>
        <w:spacing w:line="480" w:lineRule="exact"/>
        <w:ind w:firstLine="480" w:firstLineChars="200"/>
        <w:textAlignment w:val="auto"/>
        <w:rPr>
          <w:rFonts w:ascii="宋体" w:hAnsi="宋体" w:eastAsia="宋体" w:cs="Times New Roman"/>
          <w:sz w:val="24"/>
          <w:szCs w:val="28"/>
        </w:rPr>
      </w:pPr>
      <w:r>
        <w:rPr>
          <w:rFonts w:hint="eastAsia" w:ascii="宋体" w:hAnsi="宋体" w:eastAsia="宋体" w:cs="Times New Roman"/>
          <w:sz w:val="24"/>
          <w:szCs w:val="28"/>
        </w:rPr>
        <w:t>（</w:t>
      </w:r>
      <w:r>
        <w:rPr>
          <w:rFonts w:ascii="宋体" w:hAnsi="宋体" w:eastAsia="宋体" w:cs="Times New Roman"/>
          <w:sz w:val="24"/>
          <w:szCs w:val="28"/>
        </w:rPr>
        <w:t>1）</w:t>
      </w:r>
      <w:r>
        <w:rPr>
          <w:rFonts w:hint="eastAsia" w:ascii="宋体" w:hAnsi="宋体" w:eastAsia="宋体" w:cs="Times New Roman"/>
          <w:sz w:val="24"/>
          <w:szCs w:val="28"/>
        </w:rPr>
        <w:t>运维服务工单；</w:t>
      </w:r>
      <w:r>
        <w:rPr>
          <w:rFonts w:ascii="宋体" w:hAnsi="宋体" w:eastAsia="宋体" w:cs="Times New Roman"/>
          <w:sz w:val="24"/>
          <w:szCs w:val="28"/>
        </w:rPr>
        <w:t xml:space="preserve"> </w:t>
      </w:r>
    </w:p>
    <w:p w14:paraId="66727E9E">
      <w:pPr>
        <w:pageBreakBefore w:val="0"/>
        <w:kinsoku/>
        <w:wordWrap/>
        <w:overflowPunct/>
        <w:topLinePunct w:val="0"/>
        <w:autoSpaceDE/>
        <w:autoSpaceDN/>
        <w:bidi w:val="0"/>
        <w:adjustRightInd/>
        <w:spacing w:line="480" w:lineRule="exact"/>
        <w:ind w:firstLine="480" w:firstLineChars="200"/>
        <w:textAlignment w:val="auto"/>
        <w:rPr>
          <w:rFonts w:ascii="宋体" w:hAnsi="宋体" w:eastAsia="宋体" w:cs="Times New Roman"/>
          <w:sz w:val="24"/>
          <w:szCs w:val="28"/>
        </w:rPr>
      </w:pPr>
      <w:r>
        <w:rPr>
          <w:rFonts w:hint="eastAsia" w:ascii="宋体" w:hAnsi="宋体" w:eastAsia="宋体" w:cs="Times New Roman"/>
          <w:sz w:val="24"/>
          <w:szCs w:val="28"/>
        </w:rPr>
        <w:t>（</w:t>
      </w:r>
      <w:r>
        <w:rPr>
          <w:rFonts w:ascii="宋体" w:hAnsi="宋体" w:eastAsia="宋体" w:cs="Times New Roman"/>
          <w:sz w:val="24"/>
          <w:szCs w:val="28"/>
        </w:rPr>
        <w:t>2</w:t>
      </w:r>
      <w:r>
        <w:rPr>
          <w:rFonts w:hint="eastAsia" w:ascii="宋体" w:hAnsi="宋体" w:eastAsia="宋体" w:cs="Times New Roman"/>
          <w:sz w:val="24"/>
          <w:szCs w:val="28"/>
        </w:rPr>
        <w:t>）系统巡检记录；</w:t>
      </w:r>
      <w:r>
        <w:rPr>
          <w:rFonts w:ascii="宋体" w:hAnsi="宋体" w:eastAsia="宋体" w:cs="Times New Roman"/>
          <w:sz w:val="24"/>
          <w:szCs w:val="28"/>
        </w:rPr>
        <w:t xml:space="preserve"> </w:t>
      </w:r>
    </w:p>
    <w:p w14:paraId="0E854965">
      <w:pPr>
        <w:pageBreakBefore w:val="0"/>
        <w:kinsoku/>
        <w:wordWrap/>
        <w:overflowPunct/>
        <w:topLinePunct w:val="0"/>
        <w:autoSpaceDE/>
        <w:autoSpaceDN/>
        <w:bidi w:val="0"/>
        <w:adjustRightInd/>
        <w:spacing w:line="480" w:lineRule="exact"/>
        <w:ind w:firstLine="480" w:firstLineChars="200"/>
        <w:textAlignment w:val="auto"/>
        <w:rPr>
          <w:rFonts w:ascii="宋体" w:hAnsi="宋体" w:eastAsia="宋体" w:cs="Times New Roman"/>
          <w:sz w:val="24"/>
          <w:szCs w:val="28"/>
        </w:rPr>
      </w:pPr>
      <w:r>
        <w:rPr>
          <w:rFonts w:hint="eastAsia" w:ascii="宋体" w:hAnsi="宋体" w:eastAsia="宋体" w:cs="Times New Roman"/>
          <w:sz w:val="24"/>
          <w:szCs w:val="28"/>
        </w:rPr>
        <w:t>（3）用户满意度调查报告；</w:t>
      </w:r>
      <w:r>
        <w:rPr>
          <w:rFonts w:ascii="宋体" w:hAnsi="宋体" w:eastAsia="宋体" w:cs="Times New Roman"/>
          <w:sz w:val="24"/>
          <w:szCs w:val="28"/>
        </w:rPr>
        <w:t xml:space="preserve"> </w:t>
      </w:r>
    </w:p>
    <w:p w14:paraId="3E461470">
      <w:pPr>
        <w:pageBreakBefore w:val="0"/>
        <w:kinsoku/>
        <w:wordWrap/>
        <w:overflowPunct/>
        <w:topLinePunct w:val="0"/>
        <w:autoSpaceDE/>
        <w:autoSpaceDN/>
        <w:bidi w:val="0"/>
        <w:adjustRightInd/>
        <w:spacing w:line="480" w:lineRule="exact"/>
        <w:ind w:firstLine="480" w:firstLineChars="200"/>
        <w:textAlignment w:val="auto"/>
        <w:rPr>
          <w:rFonts w:ascii="宋体" w:hAnsi="宋体" w:eastAsia="宋体" w:cs="Times New Roman"/>
          <w:sz w:val="24"/>
          <w:szCs w:val="28"/>
        </w:rPr>
      </w:pPr>
      <w:r>
        <w:rPr>
          <w:rFonts w:hint="eastAsia" w:ascii="宋体" w:hAnsi="宋体" w:eastAsia="宋体" w:cs="Times New Roman"/>
          <w:sz w:val="24"/>
          <w:szCs w:val="28"/>
        </w:rPr>
        <w:t>（4）运维方案；</w:t>
      </w:r>
      <w:r>
        <w:rPr>
          <w:rFonts w:ascii="宋体" w:hAnsi="宋体" w:eastAsia="宋体" w:cs="Times New Roman"/>
          <w:sz w:val="24"/>
          <w:szCs w:val="28"/>
        </w:rPr>
        <w:t xml:space="preserve"> </w:t>
      </w:r>
    </w:p>
    <w:p w14:paraId="772C3B96">
      <w:pPr>
        <w:pageBreakBefore w:val="0"/>
        <w:kinsoku/>
        <w:wordWrap/>
        <w:overflowPunct/>
        <w:topLinePunct w:val="0"/>
        <w:autoSpaceDE/>
        <w:autoSpaceDN/>
        <w:bidi w:val="0"/>
        <w:adjustRightInd/>
        <w:spacing w:line="480" w:lineRule="exact"/>
        <w:ind w:firstLine="480" w:firstLineChars="200"/>
        <w:textAlignment w:val="auto"/>
        <w:rPr>
          <w:rFonts w:ascii="宋体" w:hAnsi="宋体" w:eastAsia="宋体" w:cs="Times New Roman"/>
          <w:sz w:val="24"/>
          <w:szCs w:val="28"/>
        </w:rPr>
      </w:pPr>
      <w:r>
        <w:rPr>
          <w:rFonts w:hint="eastAsia" w:ascii="宋体" w:hAnsi="宋体" w:eastAsia="宋体" w:cs="Times New Roman"/>
          <w:sz w:val="24"/>
          <w:szCs w:val="28"/>
        </w:rPr>
        <w:t>（5）总结报告。</w:t>
      </w:r>
    </w:p>
    <w:p w14:paraId="2068E74F">
      <w:pPr>
        <w:pStyle w:val="2"/>
        <w:pageBreakBefore w:val="0"/>
        <w:kinsoku/>
        <w:wordWrap/>
        <w:overflowPunct/>
        <w:topLinePunct w:val="0"/>
        <w:autoSpaceDE/>
        <w:autoSpaceDN/>
        <w:bidi w:val="0"/>
        <w:adjustRightInd/>
        <w:spacing w:before="0" w:after="0" w:line="480" w:lineRule="exact"/>
        <w:textAlignment w:val="auto"/>
        <w:rPr>
          <w:rFonts w:ascii="宋体" w:hAnsi="宋体" w:eastAsia="宋体" w:cs="Times New Roman"/>
          <w:sz w:val="24"/>
          <w:szCs w:val="24"/>
          <w:highlight w:val="none"/>
          <w:lang w:val="zh-CN" w:eastAsia="zh-CN"/>
        </w:rPr>
      </w:pPr>
      <w:r>
        <w:rPr>
          <w:rFonts w:hint="eastAsia" w:ascii="宋体" w:hAnsi="宋体" w:eastAsia="宋体" w:cs="Times New Roman"/>
          <w:sz w:val="24"/>
          <w:szCs w:val="24"/>
          <w:highlight w:val="none"/>
          <w:lang w:val="zh-CN" w:eastAsia="zh-CN"/>
        </w:rPr>
        <w:t>四、申报和评审事宜</w:t>
      </w:r>
    </w:p>
    <w:p w14:paraId="01814420">
      <w:pPr>
        <w:pageBreakBefore w:val="0"/>
        <w:kinsoku/>
        <w:wordWrap/>
        <w:overflowPunct/>
        <w:topLinePunct w:val="0"/>
        <w:autoSpaceDE/>
        <w:autoSpaceDN/>
        <w:bidi w:val="0"/>
        <w:adjustRightInd/>
        <w:spacing w:line="480" w:lineRule="exact"/>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（一）申报期限：202</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9</w:t>
      </w:r>
      <w:r>
        <w:rPr>
          <w:rFonts w:hint="eastAsia" w:ascii="宋体" w:hAnsi="宋体" w:eastAsia="宋体" w:cs="Times New Roman"/>
          <w:sz w:val="24"/>
          <w:szCs w:val="24"/>
          <w:highlight w:val="none"/>
        </w:rPr>
        <w:t>日—202</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15</w:t>
      </w:r>
      <w:r>
        <w:rPr>
          <w:rFonts w:hint="eastAsia" w:ascii="宋体" w:hAnsi="宋体" w:eastAsia="宋体" w:cs="Times New Roman"/>
          <w:sz w:val="24"/>
          <w:szCs w:val="24"/>
          <w:highlight w:val="none"/>
        </w:rPr>
        <w:t>日。</w:t>
      </w:r>
    </w:p>
    <w:p w14:paraId="58592E51">
      <w:pPr>
        <w:pageBreakBefore w:val="0"/>
        <w:tabs>
          <w:tab w:val="left" w:pos="851"/>
        </w:tabs>
        <w:kinsoku/>
        <w:wordWrap/>
        <w:overflowPunct/>
        <w:topLinePunct w:val="0"/>
        <w:autoSpaceDE/>
        <w:autoSpaceDN/>
        <w:bidi w:val="0"/>
        <w:adjustRightInd/>
        <w:spacing w:line="480" w:lineRule="exact"/>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（二）下载材料：申请单位可登录北京市卫生健康委员会网站（</w:t>
      </w:r>
      <w:r>
        <w:rPr>
          <w:highlight w:val="none"/>
        </w:rPr>
        <w:fldChar w:fldCharType="begin"/>
      </w:r>
      <w:r>
        <w:rPr>
          <w:highlight w:val="none"/>
        </w:rPr>
        <w:instrText xml:space="preserve"> HYPERLINK "https://wjw.beijing.gov.cn/" </w:instrText>
      </w:r>
      <w:r>
        <w:rPr>
          <w:highlight w:val="none"/>
        </w:rPr>
        <w:fldChar w:fldCharType="separate"/>
      </w:r>
      <w:r>
        <w:rPr>
          <w:rFonts w:ascii="宋体" w:hAnsi="宋体" w:eastAsia="宋体" w:cs="Times New Roman"/>
          <w:sz w:val="24"/>
          <w:szCs w:val="24"/>
          <w:highlight w:val="none"/>
        </w:rPr>
        <w:t>https://wjw.beijing.gov.cn/</w:t>
      </w:r>
      <w:r>
        <w:rPr>
          <w:rFonts w:ascii="宋体" w:hAnsi="宋体" w:eastAsia="宋体" w:cs="Times New Roman"/>
          <w:sz w:val="24"/>
          <w:szCs w:val="24"/>
          <w:highlight w:val="none"/>
        </w:rPr>
        <w:fldChar w:fldCharType="end"/>
      </w:r>
      <w:r>
        <w:rPr>
          <w:rFonts w:hint="eastAsia" w:ascii="宋体" w:hAnsi="宋体" w:eastAsia="宋体" w:cs="Times New Roman"/>
          <w:sz w:val="24"/>
          <w:szCs w:val="24"/>
          <w:highlight w:val="none"/>
        </w:rPr>
        <w:t>）或北京市卫生健康大数据与政策研究中心网站（http://www.phic.org.cn/）下载《采购项目承办申请书》、《投标供应商之间应不存在控股、管理等关联关系的书面声明》、《主要股东或出资人信息表》。</w:t>
      </w:r>
    </w:p>
    <w:p w14:paraId="0531C4F7">
      <w:pPr>
        <w:pageBreakBefore w:val="0"/>
        <w:kinsoku/>
        <w:wordWrap/>
        <w:overflowPunct/>
        <w:topLinePunct w:val="0"/>
        <w:autoSpaceDE/>
        <w:autoSpaceDN/>
        <w:bidi w:val="0"/>
        <w:adjustRightInd/>
        <w:spacing w:line="480" w:lineRule="exact"/>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（三）填写材料：申请材料填写内容应简明扼要，突出重点。</w:t>
      </w:r>
    </w:p>
    <w:p w14:paraId="638D4C46">
      <w:pPr>
        <w:pageBreakBefore w:val="0"/>
        <w:kinsoku/>
        <w:wordWrap/>
        <w:overflowPunct/>
        <w:topLinePunct w:val="0"/>
        <w:autoSpaceDE/>
        <w:autoSpaceDN/>
        <w:bidi w:val="0"/>
        <w:adjustRightInd/>
        <w:spacing w:line="480" w:lineRule="exact"/>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（四）提交材料：申请单位应在202</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15</w:t>
      </w:r>
      <w:r>
        <w:rPr>
          <w:rFonts w:hint="eastAsia" w:ascii="宋体" w:hAnsi="宋体" w:eastAsia="宋体" w:cs="Times New Roman"/>
          <w:sz w:val="24"/>
          <w:szCs w:val="24"/>
          <w:highlight w:val="none"/>
        </w:rPr>
        <w:t>日17:00以前将盖章的《采购项目承办申请书》及商务技术文档电子扫描件提交至：xxzxcgb@wjw.beijing.gov.cn。</w:t>
      </w:r>
    </w:p>
    <w:p w14:paraId="3780369F">
      <w:pPr>
        <w:pageBreakBefore w:val="0"/>
        <w:kinsoku/>
        <w:wordWrap/>
        <w:overflowPunct/>
        <w:topLinePunct w:val="0"/>
        <w:autoSpaceDE/>
        <w:autoSpaceDN/>
        <w:bidi w:val="0"/>
        <w:adjustRightInd/>
        <w:spacing w:line="480" w:lineRule="exact"/>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（五）组织评审：申请单位携带盖章的《采购项目承办申请书》、《投标供应商之间应不存在控股、管理等关联关系的书面声明》、《主要股东或出资人信息表》</w:t>
      </w:r>
      <w:bookmarkStart w:id="0" w:name="_GoBack"/>
      <w:bookmarkEnd w:id="0"/>
      <w:r>
        <w:rPr>
          <w:rFonts w:hint="eastAsia" w:ascii="宋体" w:hAnsi="宋体" w:eastAsia="宋体" w:cs="Times New Roman"/>
          <w:sz w:val="24"/>
          <w:szCs w:val="24"/>
          <w:highlight w:val="none"/>
        </w:rPr>
        <w:t>以及响应服务内容的商务和技术文档纸质版（以上材料装订成一册），共三份并密封，参加专家遴选评审会。北京市卫生健康大数据与政策研究中心将组织评审小组，从项目方案的科学合理性、创新性和可行性，项目团队实力和工作经验基础等方面，对申请单位的申请书进行评估，择优遴选1家项目承担单位。具体评审时间另行通知</w:t>
      </w:r>
      <w:r>
        <w:rPr>
          <w:rFonts w:ascii="宋体" w:hAnsi="宋体" w:eastAsia="宋体" w:cs="Times New Roman"/>
          <w:sz w:val="24"/>
          <w:szCs w:val="24"/>
          <w:highlight w:val="none"/>
        </w:rPr>
        <w:t>。</w:t>
      </w:r>
    </w:p>
    <w:p w14:paraId="602BB139">
      <w:pPr>
        <w:pageBreakBefore w:val="0"/>
        <w:kinsoku/>
        <w:wordWrap/>
        <w:overflowPunct/>
        <w:topLinePunct w:val="0"/>
        <w:autoSpaceDE/>
        <w:autoSpaceDN/>
        <w:bidi w:val="0"/>
        <w:adjustRightInd/>
        <w:spacing w:line="480" w:lineRule="exact"/>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（六）结果公示：北京市卫生健康委员会网站和北京市卫生健康大数据与政策研究中心网站予以公示。</w:t>
      </w:r>
    </w:p>
    <w:p w14:paraId="6ACCECB7">
      <w:pPr>
        <w:keepNext/>
        <w:keepLines/>
        <w:pageBreakBefore w:val="0"/>
        <w:kinsoku/>
        <w:wordWrap/>
        <w:overflowPunct/>
        <w:topLinePunct w:val="0"/>
        <w:autoSpaceDE/>
        <w:autoSpaceDN/>
        <w:bidi w:val="0"/>
        <w:adjustRightInd/>
        <w:spacing w:line="480" w:lineRule="exact"/>
        <w:textAlignment w:val="auto"/>
        <w:outlineLvl w:val="0"/>
        <w:rPr>
          <w:rFonts w:ascii="宋体" w:hAnsi="宋体" w:eastAsia="宋体" w:cs="Times New Roman"/>
          <w:sz w:val="24"/>
          <w:szCs w:val="24"/>
          <w:highlight w:val="none"/>
        </w:rPr>
      </w:pPr>
      <w:r>
        <w:rPr>
          <w:rFonts w:hint="eastAsia" w:ascii="宋体" w:hAnsi="宋体" w:eastAsia="宋体" w:cs="Times New Roman"/>
          <w:sz w:val="24"/>
          <w:szCs w:val="24"/>
          <w:highlight w:val="none"/>
        </w:rPr>
        <w:t>五、项目经费</w:t>
      </w:r>
    </w:p>
    <w:p w14:paraId="6F59BEA8">
      <w:pPr>
        <w:pageBreakBefore w:val="0"/>
        <w:kinsoku/>
        <w:wordWrap/>
        <w:overflowPunct/>
        <w:topLinePunct w:val="0"/>
        <w:autoSpaceDE/>
        <w:autoSpaceDN/>
        <w:bidi w:val="0"/>
        <w:adjustRightInd/>
        <w:spacing w:line="480" w:lineRule="exact"/>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项目经费不得超过10.22万元。</w:t>
      </w:r>
    </w:p>
    <w:p w14:paraId="49D4C57C">
      <w:pPr>
        <w:keepNext/>
        <w:keepLines/>
        <w:pageBreakBefore w:val="0"/>
        <w:kinsoku/>
        <w:wordWrap/>
        <w:overflowPunct/>
        <w:topLinePunct w:val="0"/>
        <w:autoSpaceDE/>
        <w:autoSpaceDN/>
        <w:bidi w:val="0"/>
        <w:adjustRightInd/>
        <w:spacing w:line="480" w:lineRule="exact"/>
        <w:textAlignment w:val="auto"/>
        <w:outlineLvl w:val="0"/>
        <w:rPr>
          <w:rFonts w:ascii="宋体" w:hAnsi="宋体" w:eastAsia="宋体" w:cs="Times New Roman"/>
          <w:sz w:val="24"/>
          <w:szCs w:val="24"/>
          <w:highlight w:val="none"/>
        </w:rPr>
      </w:pPr>
      <w:r>
        <w:rPr>
          <w:rFonts w:hint="eastAsia" w:ascii="宋体" w:hAnsi="宋体" w:eastAsia="宋体" w:cs="Times New Roman"/>
          <w:sz w:val="24"/>
          <w:szCs w:val="24"/>
          <w:highlight w:val="none"/>
        </w:rPr>
        <w:t>六、联系方式</w:t>
      </w:r>
    </w:p>
    <w:p w14:paraId="660E2949">
      <w:pPr>
        <w:pageBreakBefore w:val="0"/>
        <w:kinsoku/>
        <w:wordWrap/>
        <w:overflowPunct/>
        <w:topLinePunct w:val="0"/>
        <w:autoSpaceDE/>
        <w:autoSpaceDN/>
        <w:bidi w:val="0"/>
        <w:adjustRightInd/>
        <w:spacing w:line="480" w:lineRule="exact"/>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北京市卫生健康大数据与政策研究中心</w:t>
      </w:r>
    </w:p>
    <w:p w14:paraId="717690BE">
      <w:pPr>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联系人：</w:t>
      </w:r>
      <w:r>
        <w:rPr>
          <w:rFonts w:hint="eastAsia" w:ascii="宋体" w:hAnsi="宋体" w:eastAsia="宋体" w:cs="Times New Roman"/>
          <w:sz w:val="24"/>
          <w:szCs w:val="24"/>
          <w:highlight w:val="none"/>
          <w:lang w:eastAsia="zh-CN"/>
        </w:rPr>
        <w:t>陈臣</w:t>
      </w:r>
    </w:p>
    <w:p w14:paraId="4A8AE0D2">
      <w:pPr>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联系电话：</w:t>
      </w:r>
      <w:r>
        <w:rPr>
          <w:rFonts w:ascii="宋体" w:hAnsi="宋体" w:eastAsia="宋体" w:cs="Times New Roman"/>
          <w:sz w:val="24"/>
          <w:szCs w:val="24"/>
          <w:highlight w:val="none"/>
        </w:rPr>
        <w:t>5553228</w:t>
      </w:r>
      <w:r>
        <w:rPr>
          <w:rFonts w:hint="eastAsia" w:ascii="宋体" w:hAnsi="宋体" w:eastAsia="宋体" w:cs="Times New Roman"/>
          <w:sz w:val="24"/>
          <w:szCs w:val="24"/>
          <w:highlight w:val="none"/>
          <w:lang w:val="en-US" w:eastAsia="zh-CN"/>
        </w:rPr>
        <w:t>2</w:t>
      </w:r>
    </w:p>
    <w:p w14:paraId="1ED23471">
      <w:pPr>
        <w:pageBreakBefore w:val="0"/>
        <w:kinsoku/>
        <w:wordWrap/>
        <w:overflowPunct/>
        <w:topLinePunct w:val="0"/>
        <w:autoSpaceDE/>
        <w:autoSpaceDN/>
        <w:bidi w:val="0"/>
        <w:adjustRightInd/>
        <w:spacing w:line="480" w:lineRule="exact"/>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附件：《采购项目承办申请书》、《投标供应商之间应不存在控股、管理等关联关系的书面声明》、《主要股东或出资人信息表》</w:t>
      </w:r>
    </w:p>
    <w:p w14:paraId="51F19913">
      <w:pPr>
        <w:pStyle w:val="38"/>
        <w:pageBreakBefore w:val="0"/>
        <w:kinsoku/>
        <w:wordWrap/>
        <w:overflowPunct/>
        <w:topLinePunct w:val="0"/>
        <w:autoSpaceDE/>
        <w:autoSpaceDN/>
        <w:bidi w:val="0"/>
        <w:adjustRightInd/>
        <w:snapToGrid w:val="0"/>
        <w:spacing w:before="156" w:beforeLines="50" w:after="156" w:afterLines="50" w:line="480" w:lineRule="exact"/>
        <w:ind w:firstLine="560"/>
        <w:textAlignment w:val="auto"/>
        <w:rPr>
          <w:rFonts w:eastAsia="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F8645"/>
    <w:multiLevelType w:val="singleLevel"/>
    <w:tmpl w:val="8F7F8645"/>
    <w:lvl w:ilvl="0" w:tentative="0">
      <w:start w:val="2"/>
      <w:numFmt w:val="chineseCounting"/>
      <w:suff w:val="nothing"/>
      <w:lvlText w:val="%1、"/>
      <w:lvlJc w:val="left"/>
      <w:rPr>
        <w:rFonts w:hint="eastAsia"/>
      </w:rPr>
    </w:lvl>
  </w:abstractNum>
  <w:abstractNum w:abstractNumId="1">
    <w:nsid w:val="594A2A36"/>
    <w:multiLevelType w:val="multilevel"/>
    <w:tmpl w:val="594A2A36"/>
    <w:lvl w:ilvl="0" w:tentative="0">
      <w:start w:val="1"/>
      <w:numFmt w:val="decimal"/>
      <w:lvlText w:val="%1."/>
      <w:lvlJc w:val="left"/>
      <w:pPr>
        <w:ind w:left="842" w:hanging="36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25B"/>
    <w:rsid w:val="000016A8"/>
    <w:rsid w:val="00002879"/>
    <w:rsid w:val="000047D0"/>
    <w:rsid w:val="000052AE"/>
    <w:rsid w:val="000119F5"/>
    <w:rsid w:val="00016FC4"/>
    <w:rsid w:val="0003137E"/>
    <w:rsid w:val="00036BCB"/>
    <w:rsid w:val="00053DA2"/>
    <w:rsid w:val="0005607D"/>
    <w:rsid w:val="00072B2E"/>
    <w:rsid w:val="00086540"/>
    <w:rsid w:val="00086DE7"/>
    <w:rsid w:val="0008765D"/>
    <w:rsid w:val="0009048D"/>
    <w:rsid w:val="000B214A"/>
    <w:rsid w:val="000C15DF"/>
    <w:rsid w:val="000C66A0"/>
    <w:rsid w:val="000D6902"/>
    <w:rsid w:val="000E04CF"/>
    <w:rsid w:val="000F49FE"/>
    <w:rsid w:val="0011697E"/>
    <w:rsid w:val="001310D4"/>
    <w:rsid w:val="00131CCD"/>
    <w:rsid w:val="001560AD"/>
    <w:rsid w:val="0016250D"/>
    <w:rsid w:val="00171428"/>
    <w:rsid w:val="00190C82"/>
    <w:rsid w:val="001A042C"/>
    <w:rsid w:val="001A336D"/>
    <w:rsid w:val="001B3CCE"/>
    <w:rsid w:val="001B6C6A"/>
    <w:rsid w:val="001D25CA"/>
    <w:rsid w:val="001D4BE9"/>
    <w:rsid w:val="001F1BAA"/>
    <w:rsid w:val="00202B9E"/>
    <w:rsid w:val="00202D21"/>
    <w:rsid w:val="002120E1"/>
    <w:rsid w:val="00212415"/>
    <w:rsid w:val="0021631E"/>
    <w:rsid w:val="00220FD0"/>
    <w:rsid w:val="00226218"/>
    <w:rsid w:val="00234067"/>
    <w:rsid w:val="00244842"/>
    <w:rsid w:val="00280445"/>
    <w:rsid w:val="00280681"/>
    <w:rsid w:val="00287B8E"/>
    <w:rsid w:val="002A3A9C"/>
    <w:rsid w:val="002B0E0E"/>
    <w:rsid w:val="002B49B6"/>
    <w:rsid w:val="002B6719"/>
    <w:rsid w:val="002C0319"/>
    <w:rsid w:val="002C1B01"/>
    <w:rsid w:val="002C5058"/>
    <w:rsid w:val="002D527D"/>
    <w:rsid w:val="002F036F"/>
    <w:rsid w:val="002F4BC4"/>
    <w:rsid w:val="003015C6"/>
    <w:rsid w:val="0031249C"/>
    <w:rsid w:val="003145DC"/>
    <w:rsid w:val="00332857"/>
    <w:rsid w:val="00336EEC"/>
    <w:rsid w:val="0033715A"/>
    <w:rsid w:val="00353AB9"/>
    <w:rsid w:val="00371941"/>
    <w:rsid w:val="003A0509"/>
    <w:rsid w:val="003B3F7E"/>
    <w:rsid w:val="003B4BCD"/>
    <w:rsid w:val="003C04A8"/>
    <w:rsid w:val="003C0FFF"/>
    <w:rsid w:val="003C1D49"/>
    <w:rsid w:val="003D6F38"/>
    <w:rsid w:val="003E2161"/>
    <w:rsid w:val="003F3F8B"/>
    <w:rsid w:val="00402827"/>
    <w:rsid w:val="00410DBB"/>
    <w:rsid w:val="00413633"/>
    <w:rsid w:val="00416F99"/>
    <w:rsid w:val="00417F1B"/>
    <w:rsid w:val="004209DB"/>
    <w:rsid w:val="004209F1"/>
    <w:rsid w:val="00421933"/>
    <w:rsid w:val="00431575"/>
    <w:rsid w:val="00442CAB"/>
    <w:rsid w:val="0045259B"/>
    <w:rsid w:val="00455F91"/>
    <w:rsid w:val="004571E5"/>
    <w:rsid w:val="004600A4"/>
    <w:rsid w:val="00460DEC"/>
    <w:rsid w:val="00481A96"/>
    <w:rsid w:val="00485181"/>
    <w:rsid w:val="004911A7"/>
    <w:rsid w:val="00493ECD"/>
    <w:rsid w:val="0049755F"/>
    <w:rsid w:val="004A251D"/>
    <w:rsid w:val="004A47AE"/>
    <w:rsid w:val="004A4CD2"/>
    <w:rsid w:val="004C2749"/>
    <w:rsid w:val="004C28C4"/>
    <w:rsid w:val="004D412D"/>
    <w:rsid w:val="004D55C6"/>
    <w:rsid w:val="004E6623"/>
    <w:rsid w:val="004F78DA"/>
    <w:rsid w:val="00503FA4"/>
    <w:rsid w:val="00506024"/>
    <w:rsid w:val="0050747C"/>
    <w:rsid w:val="005139A1"/>
    <w:rsid w:val="00517408"/>
    <w:rsid w:val="0051783D"/>
    <w:rsid w:val="00522DB1"/>
    <w:rsid w:val="00523B91"/>
    <w:rsid w:val="00524B99"/>
    <w:rsid w:val="00532886"/>
    <w:rsid w:val="00536235"/>
    <w:rsid w:val="005574AA"/>
    <w:rsid w:val="00565D41"/>
    <w:rsid w:val="005721E1"/>
    <w:rsid w:val="00573F22"/>
    <w:rsid w:val="005864EF"/>
    <w:rsid w:val="00596266"/>
    <w:rsid w:val="005A18D2"/>
    <w:rsid w:val="005B139B"/>
    <w:rsid w:val="005C570B"/>
    <w:rsid w:val="005D1109"/>
    <w:rsid w:val="005D2D7C"/>
    <w:rsid w:val="005E3652"/>
    <w:rsid w:val="00602C71"/>
    <w:rsid w:val="00611988"/>
    <w:rsid w:val="00612FA7"/>
    <w:rsid w:val="00620C90"/>
    <w:rsid w:val="0062566A"/>
    <w:rsid w:val="00635B42"/>
    <w:rsid w:val="00643B58"/>
    <w:rsid w:val="006469C0"/>
    <w:rsid w:val="00654F82"/>
    <w:rsid w:val="00664DAE"/>
    <w:rsid w:val="006976ED"/>
    <w:rsid w:val="006A07B5"/>
    <w:rsid w:val="006A66D3"/>
    <w:rsid w:val="006B4E68"/>
    <w:rsid w:val="006C599A"/>
    <w:rsid w:val="006D4D78"/>
    <w:rsid w:val="006E30EF"/>
    <w:rsid w:val="006E3DC4"/>
    <w:rsid w:val="006E48F1"/>
    <w:rsid w:val="00714F9F"/>
    <w:rsid w:val="00723FFE"/>
    <w:rsid w:val="007240E8"/>
    <w:rsid w:val="00731654"/>
    <w:rsid w:val="00747A31"/>
    <w:rsid w:val="0075325B"/>
    <w:rsid w:val="007553E4"/>
    <w:rsid w:val="00773A48"/>
    <w:rsid w:val="00785192"/>
    <w:rsid w:val="007854CE"/>
    <w:rsid w:val="00794BCC"/>
    <w:rsid w:val="007A0C2E"/>
    <w:rsid w:val="007A2507"/>
    <w:rsid w:val="007A4C50"/>
    <w:rsid w:val="007A56C5"/>
    <w:rsid w:val="007C0657"/>
    <w:rsid w:val="007C2354"/>
    <w:rsid w:val="007E0C5A"/>
    <w:rsid w:val="007F2AD6"/>
    <w:rsid w:val="007F7A17"/>
    <w:rsid w:val="0081348A"/>
    <w:rsid w:val="00823371"/>
    <w:rsid w:val="00830D55"/>
    <w:rsid w:val="008313DD"/>
    <w:rsid w:val="0084139E"/>
    <w:rsid w:val="00850651"/>
    <w:rsid w:val="00855F70"/>
    <w:rsid w:val="0086197B"/>
    <w:rsid w:val="00865177"/>
    <w:rsid w:val="00867194"/>
    <w:rsid w:val="00877356"/>
    <w:rsid w:val="008A2390"/>
    <w:rsid w:val="008B6CB0"/>
    <w:rsid w:val="008B6FA4"/>
    <w:rsid w:val="008C728F"/>
    <w:rsid w:val="008D366B"/>
    <w:rsid w:val="008D7149"/>
    <w:rsid w:val="008E7AB5"/>
    <w:rsid w:val="008F5A04"/>
    <w:rsid w:val="008F7488"/>
    <w:rsid w:val="00900ACC"/>
    <w:rsid w:val="0091244C"/>
    <w:rsid w:val="00931126"/>
    <w:rsid w:val="009345DF"/>
    <w:rsid w:val="009415B8"/>
    <w:rsid w:val="00951FFA"/>
    <w:rsid w:val="00990EDC"/>
    <w:rsid w:val="00992035"/>
    <w:rsid w:val="00994E08"/>
    <w:rsid w:val="009A2AA1"/>
    <w:rsid w:val="009A53A5"/>
    <w:rsid w:val="009C5CA0"/>
    <w:rsid w:val="009D01D1"/>
    <w:rsid w:val="009D4365"/>
    <w:rsid w:val="009D69E1"/>
    <w:rsid w:val="009E19DC"/>
    <w:rsid w:val="009E7499"/>
    <w:rsid w:val="009F5FFC"/>
    <w:rsid w:val="00A175BF"/>
    <w:rsid w:val="00A22552"/>
    <w:rsid w:val="00A25BBD"/>
    <w:rsid w:val="00A26CE8"/>
    <w:rsid w:val="00A43ABE"/>
    <w:rsid w:val="00A5087A"/>
    <w:rsid w:val="00A52464"/>
    <w:rsid w:val="00A652B2"/>
    <w:rsid w:val="00A759DB"/>
    <w:rsid w:val="00A76172"/>
    <w:rsid w:val="00A943B2"/>
    <w:rsid w:val="00AA3B24"/>
    <w:rsid w:val="00AB482A"/>
    <w:rsid w:val="00AC7B6A"/>
    <w:rsid w:val="00AE1D0E"/>
    <w:rsid w:val="00AF6624"/>
    <w:rsid w:val="00B0556C"/>
    <w:rsid w:val="00B12BDE"/>
    <w:rsid w:val="00B30E70"/>
    <w:rsid w:val="00B33F51"/>
    <w:rsid w:val="00B40DBE"/>
    <w:rsid w:val="00B42FBC"/>
    <w:rsid w:val="00B44366"/>
    <w:rsid w:val="00B45AB1"/>
    <w:rsid w:val="00B46330"/>
    <w:rsid w:val="00B62528"/>
    <w:rsid w:val="00B63723"/>
    <w:rsid w:val="00B71774"/>
    <w:rsid w:val="00B727BA"/>
    <w:rsid w:val="00B72E80"/>
    <w:rsid w:val="00B73D04"/>
    <w:rsid w:val="00B877A1"/>
    <w:rsid w:val="00B92696"/>
    <w:rsid w:val="00B9547D"/>
    <w:rsid w:val="00BA391A"/>
    <w:rsid w:val="00BA5A96"/>
    <w:rsid w:val="00BB06B8"/>
    <w:rsid w:val="00BB30DD"/>
    <w:rsid w:val="00BC7665"/>
    <w:rsid w:val="00BD4DDC"/>
    <w:rsid w:val="00BD563F"/>
    <w:rsid w:val="00BD5B3C"/>
    <w:rsid w:val="00BD7F7F"/>
    <w:rsid w:val="00BF152E"/>
    <w:rsid w:val="00BF2FE9"/>
    <w:rsid w:val="00BF6F19"/>
    <w:rsid w:val="00C02C13"/>
    <w:rsid w:val="00C16A49"/>
    <w:rsid w:val="00C209E2"/>
    <w:rsid w:val="00C33569"/>
    <w:rsid w:val="00C35573"/>
    <w:rsid w:val="00C467CA"/>
    <w:rsid w:val="00C525AD"/>
    <w:rsid w:val="00C63423"/>
    <w:rsid w:val="00C666C6"/>
    <w:rsid w:val="00C702C1"/>
    <w:rsid w:val="00C71CA0"/>
    <w:rsid w:val="00C743CC"/>
    <w:rsid w:val="00C8247A"/>
    <w:rsid w:val="00C826C8"/>
    <w:rsid w:val="00C87012"/>
    <w:rsid w:val="00C96E34"/>
    <w:rsid w:val="00C97A10"/>
    <w:rsid w:val="00CA0CCC"/>
    <w:rsid w:val="00CA54CC"/>
    <w:rsid w:val="00CA75DF"/>
    <w:rsid w:val="00CB481E"/>
    <w:rsid w:val="00CB611D"/>
    <w:rsid w:val="00CC2464"/>
    <w:rsid w:val="00CD1F30"/>
    <w:rsid w:val="00CD351C"/>
    <w:rsid w:val="00CE22CD"/>
    <w:rsid w:val="00CE2504"/>
    <w:rsid w:val="00CF0573"/>
    <w:rsid w:val="00D038E9"/>
    <w:rsid w:val="00D11457"/>
    <w:rsid w:val="00D152F4"/>
    <w:rsid w:val="00D219E2"/>
    <w:rsid w:val="00D260E2"/>
    <w:rsid w:val="00D27007"/>
    <w:rsid w:val="00D60BD3"/>
    <w:rsid w:val="00D700FF"/>
    <w:rsid w:val="00D71BE4"/>
    <w:rsid w:val="00D7770C"/>
    <w:rsid w:val="00D8616E"/>
    <w:rsid w:val="00D868B2"/>
    <w:rsid w:val="00D9106C"/>
    <w:rsid w:val="00D91FAE"/>
    <w:rsid w:val="00DA32DA"/>
    <w:rsid w:val="00DB3FCA"/>
    <w:rsid w:val="00DD47F4"/>
    <w:rsid w:val="00DD7D73"/>
    <w:rsid w:val="00DF2909"/>
    <w:rsid w:val="00E0084E"/>
    <w:rsid w:val="00E114FB"/>
    <w:rsid w:val="00E21230"/>
    <w:rsid w:val="00E3031C"/>
    <w:rsid w:val="00E3263F"/>
    <w:rsid w:val="00E32CA2"/>
    <w:rsid w:val="00E32D83"/>
    <w:rsid w:val="00E54A05"/>
    <w:rsid w:val="00E6481E"/>
    <w:rsid w:val="00E8576B"/>
    <w:rsid w:val="00E87943"/>
    <w:rsid w:val="00E90645"/>
    <w:rsid w:val="00EA5CA3"/>
    <w:rsid w:val="00EC1002"/>
    <w:rsid w:val="00EC14B3"/>
    <w:rsid w:val="00EC3AC3"/>
    <w:rsid w:val="00EC3E9F"/>
    <w:rsid w:val="00ED0805"/>
    <w:rsid w:val="00ED65FC"/>
    <w:rsid w:val="00EE2343"/>
    <w:rsid w:val="00EE2E63"/>
    <w:rsid w:val="00EE5650"/>
    <w:rsid w:val="00EF1BD1"/>
    <w:rsid w:val="00EF21D6"/>
    <w:rsid w:val="00F01D58"/>
    <w:rsid w:val="00F034CA"/>
    <w:rsid w:val="00F16441"/>
    <w:rsid w:val="00F22CBC"/>
    <w:rsid w:val="00F25CFD"/>
    <w:rsid w:val="00F26F0C"/>
    <w:rsid w:val="00F36173"/>
    <w:rsid w:val="00F471CC"/>
    <w:rsid w:val="00F5311B"/>
    <w:rsid w:val="00F66893"/>
    <w:rsid w:val="00F7448A"/>
    <w:rsid w:val="00F810B2"/>
    <w:rsid w:val="00F9235F"/>
    <w:rsid w:val="00F9384E"/>
    <w:rsid w:val="00FA0587"/>
    <w:rsid w:val="00FA3984"/>
    <w:rsid w:val="00FB5F0D"/>
    <w:rsid w:val="00FB6FE4"/>
    <w:rsid w:val="00FC7674"/>
    <w:rsid w:val="00FD1910"/>
    <w:rsid w:val="00FE48F3"/>
    <w:rsid w:val="00FF1C68"/>
    <w:rsid w:val="00FF6597"/>
    <w:rsid w:val="00FF7678"/>
    <w:rsid w:val="03E10147"/>
    <w:rsid w:val="05D46087"/>
    <w:rsid w:val="0CA120A5"/>
    <w:rsid w:val="10522182"/>
    <w:rsid w:val="10990E23"/>
    <w:rsid w:val="123C0FD1"/>
    <w:rsid w:val="17A5195E"/>
    <w:rsid w:val="1C6B1A0C"/>
    <w:rsid w:val="24AE1EA5"/>
    <w:rsid w:val="280218F4"/>
    <w:rsid w:val="2CFF1543"/>
    <w:rsid w:val="2D3C5FFD"/>
    <w:rsid w:val="341810FF"/>
    <w:rsid w:val="348A42B1"/>
    <w:rsid w:val="34F335AC"/>
    <w:rsid w:val="383B1B46"/>
    <w:rsid w:val="3A501D40"/>
    <w:rsid w:val="3FB520EE"/>
    <w:rsid w:val="414C0A28"/>
    <w:rsid w:val="43CB62CA"/>
    <w:rsid w:val="464801CA"/>
    <w:rsid w:val="47F7A512"/>
    <w:rsid w:val="496E74C5"/>
    <w:rsid w:val="4D2029B3"/>
    <w:rsid w:val="4E5F7806"/>
    <w:rsid w:val="50821D81"/>
    <w:rsid w:val="51106465"/>
    <w:rsid w:val="5150531B"/>
    <w:rsid w:val="543C1380"/>
    <w:rsid w:val="599B4A0E"/>
    <w:rsid w:val="5E032FDD"/>
    <w:rsid w:val="60525229"/>
    <w:rsid w:val="60A609E1"/>
    <w:rsid w:val="610A42A4"/>
    <w:rsid w:val="CFFFF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2"/>
    <w:qFormat/>
    <w:uiPriority w:val="0"/>
    <w:pPr>
      <w:spacing w:line="360" w:lineRule="auto"/>
      <w:ind w:firstLine="420" w:firstLineChars="200"/>
    </w:pPr>
    <w:rPr>
      <w:rFonts w:ascii="宋体" w:hAnsi="宋体" w:eastAsia="宋体" w:cs="Times New Roman"/>
      <w:sz w:val="24"/>
      <w:szCs w:val="24"/>
    </w:rPr>
  </w:style>
  <w:style w:type="paragraph" w:styleId="7">
    <w:name w:val="annotation text"/>
    <w:basedOn w:val="1"/>
    <w:link w:val="31"/>
    <w:unhideWhenUsed/>
    <w:qFormat/>
    <w:uiPriority w:val="99"/>
    <w:pPr>
      <w:jc w:val="left"/>
    </w:pPr>
  </w:style>
  <w:style w:type="paragraph" w:styleId="8">
    <w:name w:val="Balloon Text"/>
    <w:basedOn w:val="1"/>
    <w:link w:val="33"/>
    <w:semiHidden/>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7"/>
    <w:next w:val="7"/>
    <w:link w:val="32"/>
    <w:semiHidden/>
    <w:unhideWhenUsed/>
    <w:qFormat/>
    <w:uiPriority w:val="99"/>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FollowedHyperlink"/>
    <w:basedOn w:val="14"/>
    <w:semiHidden/>
    <w:unhideWhenUsed/>
    <w:qFormat/>
    <w:uiPriority w:val="99"/>
    <w:rPr>
      <w:color w:val="800080"/>
      <w:u w:val="single"/>
    </w:rPr>
  </w:style>
  <w:style w:type="character" w:styleId="17">
    <w:name w:val="Hyperlink"/>
    <w:basedOn w:val="14"/>
    <w:semiHidden/>
    <w:unhideWhenUsed/>
    <w:qFormat/>
    <w:uiPriority w:val="99"/>
    <w:rPr>
      <w:color w:val="0000FF"/>
      <w:u w:val="single"/>
    </w:rPr>
  </w:style>
  <w:style w:type="character" w:styleId="18">
    <w:name w:val="annotation reference"/>
    <w:basedOn w:val="14"/>
    <w:unhideWhenUsed/>
    <w:qFormat/>
    <w:uiPriority w:val="99"/>
    <w:rPr>
      <w:sz w:val="21"/>
      <w:szCs w:val="21"/>
    </w:rPr>
  </w:style>
  <w:style w:type="character" w:customStyle="1" w:styleId="19">
    <w:name w:val="标题 1 Char"/>
    <w:basedOn w:val="14"/>
    <w:link w:val="2"/>
    <w:qFormat/>
    <w:uiPriority w:val="9"/>
    <w:rPr>
      <w:b/>
      <w:bCs/>
      <w:kern w:val="44"/>
      <w:sz w:val="44"/>
      <w:szCs w:val="44"/>
    </w:rPr>
  </w:style>
  <w:style w:type="paragraph" w:styleId="20">
    <w:name w:val="List Paragraph"/>
    <w:basedOn w:val="1"/>
    <w:link w:val="35"/>
    <w:qFormat/>
    <w:uiPriority w:val="34"/>
    <w:pPr>
      <w:ind w:firstLine="420" w:firstLineChars="200"/>
    </w:pPr>
  </w:style>
  <w:style w:type="character" w:customStyle="1" w:styleId="21">
    <w:name w:val="标题 2 Char"/>
    <w:basedOn w:val="14"/>
    <w:link w:val="3"/>
    <w:qFormat/>
    <w:uiPriority w:val="9"/>
    <w:rPr>
      <w:rFonts w:asciiTheme="majorHAnsi" w:hAnsiTheme="majorHAnsi" w:eastAsiaTheme="majorEastAsia" w:cstheme="majorBidi"/>
      <w:b/>
      <w:bCs/>
      <w:sz w:val="32"/>
      <w:szCs w:val="32"/>
    </w:rPr>
  </w:style>
  <w:style w:type="paragraph" w:customStyle="1" w:styleId="22">
    <w:name w:val="表格正文居左"/>
    <w:qFormat/>
    <w:uiPriority w:val="0"/>
    <w:pPr>
      <w:spacing w:before="120" w:after="120"/>
    </w:pPr>
    <w:rPr>
      <w:rFonts w:ascii="Times New Roman" w:hAnsi="Times New Roman" w:eastAsia="宋体" w:cs="Times New Roman"/>
      <w:kern w:val="2"/>
      <w:sz w:val="21"/>
      <w:szCs w:val="24"/>
      <w:lang w:val="en-US" w:eastAsia="zh-CN" w:bidi="ar-SA"/>
    </w:rPr>
  </w:style>
  <w:style w:type="character" w:customStyle="1" w:styleId="23">
    <w:name w:val="页眉 Char"/>
    <w:basedOn w:val="14"/>
    <w:link w:val="10"/>
    <w:qFormat/>
    <w:uiPriority w:val="99"/>
    <w:rPr>
      <w:sz w:val="18"/>
      <w:szCs w:val="18"/>
    </w:rPr>
  </w:style>
  <w:style w:type="character" w:customStyle="1" w:styleId="24">
    <w:name w:val="页脚 Char"/>
    <w:basedOn w:val="14"/>
    <w:link w:val="9"/>
    <w:qFormat/>
    <w:uiPriority w:val="99"/>
    <w:rPr>
      <w:sz w:val="18"/>
      <w:szCs w:val="18"/>
    </w:rPr>
  </w:style>
  <w:style w:type="paragraph" w:customStyle="1" w:styleId="25">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27">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4"/>
      <w:szCs w:val="24"/>
    </w:rPr>
  </w:style>
  <w:style w:type="paragraph" w:customStyle="1" w:styleId="28">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4"/>
      <w:szCs w:val="24"/>
    </w:rPr>
  </w:style>
  <w:style w:type="paragraph" w:customStyle="1" w:styleId="2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30">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rFonts w:ascii="宋体" w:hAnsi="宋体" w:eastAsia="宋体" w:cs="宋体"/>
      <w:b/>
      <w:bCs/>
      <w:kern w:val="0"/>
      <w:sz w:val="24"/>
      <w:szCs w:val="24"/>
    </w:rPr>
  </w:style>
  <w:style w:type="character" w:customStyle="1" w:styleId="31">
    <w:name w:val="批注文字 Char"/>
    <w:basedOn w:val="14"/>
    <w:link w:val="7"/>
    <w:qFormat/>
    <w:uiPriority w:val="99"/>
  </w:style>
  <w:style w:type="character" w:customStyle="1" w:styleId="32">
    <w:name w:val="批注主题 Char"/>
    <w:basedOn w:val="31"/>
    <w:link w:val="11"/>
    <w:semiHidden/>
    <w:qFormat/>
    <w:uiPriority w:val="99"/>
    <w:rPr>
      <w:b/>
      <w:bCs/>
    </w:rPr>
  </w:style>
  <w:style w:type="character" w:customStyle="1" w:styleId="33">
    <w:name w:val="批注框文本 Char"/>
    <w:basedOn w:val="14"/>
    <w:link w:val="8"/>
    <w:semiHidden/>
    <w:qFormat/>
    <w:uiPriority w:val="99"/>
    <w:rPr>
      <w:sz w:val="18"/>
      <w:szCs w:val="18"/>
    </w:rPr>
  </w:style>
  <w:style w:type="paragraph" w:customStyle="1" w:styleId="34">
    <w:name w:val="_Style 69"/>
    <w:basedOn w:val="1"/>
    <w:qFormat/>
    <w:uiPriority w:val="34"/>
    <w:pPr>
      <w:ind w:firstLine="420" w:firstLineChars="200"/>
    </w:pPr>
    <w:rPr>
      <w:rFonts w:ascii="Calibri" w:hAnsi="Calibri" w:eastAsia="宋体" w:cs="Times New Roman"/>
    </w:rPr>
  </w:style>
  <w:style w:type="character" w:customStyle="1" w:styleId="35">
    <w:name w:val="列出段落 Char"/>
    <w:link w:val="20"/>
    <w:qFormat/>
    <w:locked/>
    <w:uiPriority w:val="34"/>
  </w:style>
  <w:style w:type="paragraph" w:customStyle="1" w:styleId="36">
    <w:name w:val="正文-首缩2字符"/>
    <w:basedOn w:val="1"/>
    <w:qFormat/>
    <w:uiPriority w:val="0"/>
    <w:pPr>
      <w:adjustRightInd w:val="0"/>
      <w:snapToGrid w:val="0"/>
      <w:spacing w:line="300" w:lineRule="auto"/>
      <w:ind w:firstLine="200" w:firstLineChars="200"/>
      <w:jc w:val="left"/>
    </w:pPr>
    <w:rPr>
      <w:rFonts w:ascii="宋体" w:hAnsi="宋体" w:eastAsia="宋体" w:cs="宋体"/>
      <w:sz w:val="24"/>
      <w:szCs w:val="24"/>
    </w:rPr>
  </w:style>
  <w:style w:type="character" w:customStyle="1" w:styleId="37">
    <w:name w:val="标题 3 Char"/>
    <w:basedOn w:val="14"/>
    <w:link w:val="4"/>
    <w:qFormat/>
    <w:uiPriority w:val="9"/>
    <w:rPr>
      <w:b/>
      <w:bCs/>
      <w:kern w:val="2"/>
      <w:sz w:val="32"/>
      <w:szCs w:val="32"/>
    </w:rPr>
  </w:style>
  <w:style w:type="paragraph" w:customStyle="1" w:styleId="38">
    <w:name w:val="列表段落1"/>
    <w:basedOn w:val="1"/>
    <w:qFormat/>
    <w:uiPriority w:val="34"/>
    <w:pPr>
      <w:ind w:firstLine="420" w:firstLineChars="200"/>
    </w:pPr>
    <w:rPr>
      <w:rFonts w:ascii="Times New Roman" w:hAnsi="Times New Roman" w:cs="Times New Roman"/>
      <w:szCs w:val="24"/>
    </w:rPr>
  </w:style>
  <w:style w:type="character" w:customStyle="1" w:styleId="39">
    <w:name w:val="A国贸招标正文 Char"/>
    <w:link w:val="40"/>
    <w:qFormat/>
    <w:locked/>
    <w:uiPriority w:val="0"/>
    <w:rPr>
      <w:sz w:val="24"/>
      <w:szCs w:val="24"/>
    </w:rPr>
  </w:style>
  <w:style w:type="paragraph" w:customStyle="1" w:styleId="40">
    <w:name w:val="A国贸招标正文"/>
    <w:basedOn w:val="1"/>
    <w:link w:val="39"/>
    <w:qFormat/>
    <w:uiPriority w:val="0"/>
    <w:pPr>
      <w:tabs>
        <w:tab w:val="left" w:pos="0"/>
      </w:tabs>
      <w:spacing w:beforeLines="50" w:line="360" w:lineRule="auto"/>
      <w:ind w:firstLine="200" w:firstLineChars="200"/>
      <w:contextualSpacing/>
    </w:pPr>
    <w:rPr>
      <w:rFonts w:ascii="Calibri" w:hAnsi="Calibri" w:eastAsia="宋体" w:cs="Times New Roman"/>
      <w:kern w:val="0"/>
      <w:sz w:val="24"/>
      <w:szCs w:val="24"/>
    </w:rPr>
  </w:style>
  <w:style w:type="character" w:customStyle="1" w:styleId="41">
    <w:name w:val="标题 4 Char"/>
    <w:basedOn w:val="14"/>
    <w:link w:val="5"/>
    <w:qFormat/>
    <w:uiPriority w:val="9"/>
    <w:rPr>
      <w:rFonts w:asciiTheme="majorHAnsi" w:hAnsiTheme="majorHAnsi" w:eastAsiaTheme="majorEastAsia" w:cstheme="majorBidi"/>
      <w:b/>
      <w:bCs/>
      <w:kern w:val="2"/>
      <w:sz w:val="28"/>
      <w:szCs w:val="28"/>
    </w:rPr>
  </w:style>
  <w:style w:type="character" w:customStyle="1" w:styleId="42">
    <w:name w:val="正文缩进 Char"/>
    <w:link w:val="6"/>
    <w:qFormat/>
    <w:uiPriority w:val="0"/>
    <w:rPr>
      <w:rFonts w:ascii="宋体" w:hAnsi="宋体"/>
      <w:kern w:val="2"/>
      <w:sz w:val="24"/>
      <w:szCs w:val="24"/>
    </w:rPr>
  </w:style>
  <w:style w:type="paragraph" w:customStyle="1" w:styleId="43">
    <w:name w:val="00正文"/>
    <w:basedOn w:val="1"/>
    <w:qFormat/>
    <w:uiPriority w:val="0"/>
    <w:pPr>
      <w:spacing w:line="360" w:lineRule="auto"/>
      <w:ind w:firstLine="200" w:firstLineChars="200"/>
    </w:pPr>
    <w:rPr>
      <w:rFonts w:ascii="Times New Roman" w:hAnsi="Times New Roman" w:eastAsia="仿宋" w:cs="Times New Roman"/>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2307</Words>
  <Characters>2403</Characters>
  <Lines>21</Lines>
  <Paragraphs>6</Paragraphs>
  <TotalTime>0</TotalTime>
  <ScaleCrop>false</ScaleCrop>
  <LinksUpToDate>false</LinksUpToDate>
  <CharactersWithSpaces>2416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2023-08-23T01:07:00Z</dcterms:created>
  <dc:creator>Customer</dc:creator>
  <cp:lastModifiedBy>杰</cp:lastModifiedBy>
  <cp:lastPrinted>2019-01-07T22:43:00Z</cp:lastPrinted>
  <dcterms:modified xsi:type="dcterms:W3CDTF">2025-05-16T02:40:55Z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AB7948DE55E44EE28184DE1A424F9546_13</vt:lpwstr>
  </property>
  <property fmtid="{D5CDD505-2E9C-101B-9397-08002B2CF9AE}" pid="4" name="KSOTemplateDocerSaveRecord">
    <vt:lpwstr>eyJoZGlkIjoiZjA2MDI3OTE4ZDFlYWJkMDVjNzJjZjAwOWFhMjUxNDYiLCJ1c2VySWQiOiI2OTQ2NjI4MzkifQ==</vt:lpwstr>
  </property>
</Properties>
</file>