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1DA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pPr>
      <w:r>
        <w:rPr>
          <w:b/>
          <w:bCs/>
          <w:sz w:val="36"/>
          <w:szCs w:val="36"/>
        </w:rPr>
        <w:t>北京市卫生健康大数据与政策研究中心</w:t>
      </w:r>
      <w:r>
        <w:t xml:space="preserve"> </w:t>
      </w:r>
    </w:p>
    <w:p w14:paraId="21828D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pPr>
      <w:r>
        <w:rPr>
          <w:b/>
          <w:bCs/>
          <w:sz w:val="36"/>
          <w:szCs w:val="36"/>
        </w:rPr>
        <w:t>新媒体运维项目202</w:t>
      </w:r>
      <w:r>
        <w:rPr>
          <w:rFonts w:hint="eastAsia"/>
          <w:b/>
          <w:bCs/>
          <w:sz w:val="36"/>
          <w:szCs w:val="36"/>
          <w:lang w:val="en-US" w:eastAsia="zh-CN"/>
        </w:rPr>
        <w:t>5</w:t>
      </w:r>
      <w:r>
        <w:rPr>
          <w:b/>
          <w:bCs/>
          <w:sz w:val="36"/>
          <w:szCs w:val="36"/>
        </w:rPr>
        <w:t>年度遴选公告</w:t>
      </w:r>
      <w:r>
        <w:t xml:space="preserve"> </w:t>
      </w:r>
    </w:p>
    <w:p w14:paraId="30B6D0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随着5G等相关科技、互联网新技术的快速发展及应用，为了适应互联网发展新形势，全面提升北京市卫生健康大数据与政策研究中心（以下简称：大数据与政研中心）新媒体平台整体建设的质量和管理水平，优化社交媒体与互动工具为公众提供服务的能力以及用户认知度和满意度，根据工作需要，现面向社会公开遴选202</w:t>
      </w:r>
      <w:r>
        <w:rPr>
          <w:rFonts w:hint="eastAsia"/>
          <w:sz w:val="24"/>
          <w:szCs w:val="24"/>
          <w:lang w:val="en-US" w:eastAsia="zh-CN"/>
        </w:rPr>
        <w:t>5</w:t>
      </w:r>
      <w:r>
        <w:rPr>
          <w:sz w:val="24"/>
          <w:szCs w:val="24"/>
        </w:rPr>
        <w:t>年度北京市卫生健康大数据与政策研究中心新媒体运维项目的承担单位，有关事项公告如下：</w:t>
      </w:r>
      <w:r>
        <w:t xml:space="preserve"> </w:t>
      </w:r>
    </w:p>
    <w:p w14:paraId="2C55A37C">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pPr>
      <w:r>
        <w:rPr>
          <w:sz w:val="24"/>
          <w:szCs w:val="24"/>
        </w:rPr>
        <w:t>一、委托单位</w:t>
      </w:r>
      <w:r>
        <w:t xml:space="preserve"> </w:t>
      </w:r>
    </w:p>
    <w:p w14:paraId="5F82BB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北京市卫生健康大数据与政策研究中心</w:t>
      </w:r>
      <w:r>
        <w:t xml:space="preserve"> </w:t>
      </w:r>
    </w:p>
    <w:p w14:paraId="33EF0154">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pPr>
      <w:r>
        <w:rPr>
          <w:sz w:val="24"/>
          <w:szCs w:val="24"/>
        </w:rPr>
        <w:t>二、工作任务</w:t>
      </w:r>
      <w:r>
        <w:t xml:space="preserve"> </w:t>
      </w:r>
    </w:p>
    <w:p w14:paraId="4022E207">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pPr>
      <w:r>
        <w:rPr>
          <w:rFonts w:hint="eastAsia"/>
          <w:b/>
          <w:bCs/>
          <w:sz w:val="24"/>
          <w:szCs w:val="24"/>
          <w:lang w:eastAsia="zh-CN"/>
        </w:rPr>
        <w:t>（</w:t>
      </w:r>
      <w:r>
        <w:rPr>
          <w:rFonts w:hint="eastAsia"/>
          <w:b/>
          <w:bCs/>
          <w:sz w:val="24"/>
          <w:szCs w:val="24"/>
          <w:lang w:val="en-US" w:eastAsia="zh-CN"/>
        </w:rPr>
        <w:t>一</w:t>
      </w:r>
      <w:r>
        <w:rPr>
          <w:rFonts w:hint="eastAsia"/>
          <w:b/>
          <w:bCs/>
          <w:sz w:val="24"/>
          <w:szCs w:val="24"/>
          <w:lang w:eastAsia="zh-CN"/>
        </w:rPr>
        <w:t>）</w:t>
      </w:r>
      <w:r>
        <w:rPr>
          <w:b/>
          <w:bCs/>
          <w:sz w:val="24"/>
          <w:szCs w:val="24"/>
        </w:rPr>
        <w:t>项目总体目标</w:t>
      </w:r>
      <w:r>
        <w:t xml:space="preserve"> </w:t>
      </w:r>
    </w:p>
    <w:p w14:paraId="6FCCA10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为提高大数据与政研中心在数字化信息平台上的宣传力和影响力，实现在全网范围内对大数据与政研中心政务公开和外宣工作的全方位支持，借助网络交互性及传播力，更好地为公众提供服务。</w:t>
      </w:r>
      <w:r>
        <w:t xml:space="preserve"> </w:t>
      </w:r>
    </w:p>
    <w:p w14:paraId="6EFBAF18">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pPr>
      <w:r>
        <w:rPr>
          <w:b/>
          <w:bCs/>
          <w:sz w:val="24"/>
          <w:szCs w:val="24"/>
        </w:rPr>
        <w:t>（二）运维服务内容</w:t>
      </w:r>
      <w:r>
        <w:t xml:space="preserve"> </w:t>
      </w:r>
    </w:p>
    <w:p w14:paraId="10A58A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项目执行期间内，全面保障北京市卫生健康大数据与政策研究中心新媒体平台正常运行，并且有效支持大数据与政研中心外宣工作，包括：</w:t>
      </w:r>
      <w:r>
        <w:t xml:space="preserve"> </w:t>
      </w:r>
    </w:p>
    <w:p w14:paraId="6EFF8D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1.公众号运维工作记录报告：做好日常微信公众号稿件页面设计、排版、推送工作；充分发挥专业技术人员的信息沟通快、专业能力强以及后台支撑硬的特点，对当日进行的重要活动，配合现场做到采、编、成一体化，做到及时响应、当日推送。</w:t>
      </w:r>
      <w:r>
        <w:t xml:space="preserve"> </w:t>
      </w:r>
    </w:p>
    <w:p w14:paraId="610E544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2.故障诊断处理记录报告：及时的对平台反馈的问题进行诊断，确认解决方案，排除故障；</w:t>
      </w:r>
      <w:r>
        <w:t xml:space="preserve"> </w:t>
      </w:r>
    </w:p>
    <w:p w14:paraId="6847E2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3.视频号日常维护线上展示：由专业技术人员对计划中全年度的13条视频进行动态编辑推送，包括：中心党建活动、节日活动、工会活动、中心领导新年寄语，其他重点活动等；</w:t>
      </w:r>
      <w:r>
        <w:t xml:space="preserve"> </w:t>
      </w:r>
    </w:p>
    <w:p w14:paraId="178E112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4.公众号内容维护（非原创）：每年针对提供的图文进行编辑、配图、排版及发布（全年约30篇）；</w:t>
      </w:r>
      <w:r>
        <w:t xml:space="preserve"> </w:t>
      </w:r>
    </w:p>
    <w:p w14:paraId="13736B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5.公众号内容维护（原创）：每年针对用户的特点，结合社会新动态，原创文件并进行编辑、配图、排版及发布（全年约30篇）；</w:t>
      </w:r>
      <w:r>
        <w:t xml:space="preserve"> </w:t>
      </w:r>
    </w:p>
    <w:p w14:paraId="2CFBEB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6.节日海报：常规节日海报：中国传统二十四节气、七个法定假日（元旦、春节、清明、劳动节、端午、中秋、国庆）、特殊节日（七一、八一、抗战胜利纪念日、国家宪法日）。推荐健康类节日海报：世界卫生日、全国助残日、世界无烟日、世界环境日、国际禁毒日、世界精神卫生日、世界防治糖尿病日、世界艾滋病宣传日；</w:t>
      </w:r>
      <w:r>
        <w:t xml:space="preserve"> </w:t>
      </w:r>
    </w:p>
    <w:p w14:paraId="6344B4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7.头尾动画：每年提供文章头尾原创gif动画（9套）；</w:t>
      </w:r>
      <w:r>
        <w:t xml:space="preserve"> </w:t>
      </w:r>
    </w:p>
    <w:p w14:paraId="6D58F0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8.日常巡检：工作日登陆公众号，对公众号可用性进行巡检，并对巡检进行记录；</w:t>
      </w:r>
      <w:r>
        <w:t xml:space="preserve"> </w:t>
      </w:r>
    </w:p>
    <w:p w14:paraId="121642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rPr>
      </w:pPr>
      <w:r>
        <w:rPr>
          <w:rFonts w:hint="eastAsia"/>
        </w:rPr>
        <w:t>9.定期数据备份：项目周期内，每季度对公众号更新的数据进行备份，形成备份文档。</w:t>
      </w:r>
    </w:p>
    <w:p w14:paraId="7B7D3F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rFonts w:hint="eastAsia"/>
        </w:rPr>
        <w:t>10.每年协助用户完成公众号年审工作，年审过程中产生的费用由运维单位承担。</w:t>
      </w:r>
    </w:p>
    <w:p w14:paraId="66063E5E">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pPr>
      <w:r>
        <w:rPr>
          <w:b/>
          <w:bCs/>
          <w:sz w:val="24"/>
          <w:szCs w:val="24"/>
        </w:rPr>
        <w:t>（三）服务地点</w:t>
      </w:r>
      <w:r>
        <w:t xml:space="preserve"> </w:t>
      </w:r>
    </w:p>
    <w:p w14:paraId="44CAEE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委托方指定的服务地点。</w:t>
      </w:r>
      <w:r>
        <w:t xml:space="preserve"> </w:t>
      </w:r>
    </w:p>
    <w:p w14:paraId="7839E2EC">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pPr>
      <w:r>
        <w:rPr>
          <w:b/>
          <w:bCs/>
          <w:sz w:val="24"/>
          <w:szCs w:val="24"/>
        </w:rPr>
        <w:t>（四）运维周期</w:t>
      </w:r>
      <w:r>
        <w:t xml:space="preserve"> </w:t>
      </w:r>
    </w:p>
    <w:p w14:paraId="1F6A07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12个月。</w:t>
      </w:r>
      <w:r>
        <w:t xml:space="preserve"> </w:t>
      </w:r>
    </w:p>
    <w:p w14:paraId="20651FF3">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pPr>
      <w:r>
        <w:rPr>
          <w:sz w:val="24"/>
          <w:szCs w:val="24"/>
        </w:rPr>
        <w:t>三、具体要求</w:t>
      </w:r>
      <w:r>
        <w:t xml:space="preserve"> </w:t>
      </w:r>
    </w:p>
    <w:p w14:paraId="21BEBB04">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pPr>
      <w:r>
        <w:rPr>
          <w:b/>
          <w:bCs/>
          <w:sz w:val="24"/>
          <w:szCs w:val="24"/>
        </w:rPr>
        <w:t>（一）承担单位需具备</w:t>
      </w:r>
      <w:r>
        <w:t xml:space="preserve"> </w:t>
      </w:r>
    </w:p>
    <w:p w14:paraId="465816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pPr>
      <w:r>
        <w:rPr>
          <w:sz w:val="24"/>
          <w:szCs w:val="24"/>
        </w:rPr>
        <w:t>在中华人民共和国境内注册，具有独立承担民事责任的能力和经营许可的法人。承担方能提供2023年1月至今任意一个月社保缴纳证明和依法纳税证明，承担方在参加本次遴选活动前三年中没有重大违法记录，承担方不得被列入失信被执行人、重大税收违法案件当事人名单、政府采购严重违法失信行为记录名单，否则承担方的响应文件将被拒绝，单位负责人为同一人或者存在直接控股、管理关系的不同承担方， 不得同时参加同一合同下的采购活动，承担方需提供主要股东或出资人信息，与承担方存在控股、管理等关联关系信息（格式见附件）。</w:t>
      </w:r>
      <w:r>
        <w:t xml:space="preserve"> </w:t>
      </w:r>
    </w:p>
    <w:p w14:paraId="3D945837">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pPr>
      <w:r>
        <w:rPr>
          <w:b/>
          <w:bCs/>
          <w:sz w:val="24"/>
          <w:szCs w:val="24"/>
        </w:rPr>
        <w:t>（</w:t>
      </w:r>
      <w:r>
        <w:rPr>
          <w:rFonts w:hint="eastAsia"/>
          <w:b/>
          <w:bCs/>
          <w:sz w:val="24"/>
          <w:szCs w:val="24"/>
          <w:lang w:eastAsia="zh-CN"/>
        </w:rPr>
        <w:t>二</w:t>
      </w:r>
      <w:r>
        <w:rPr>
          <w:b/>
          <w:bCs/>
          <w:sz w:val="24"/>
          <w:szCs w:val="24"/>
        </w:rPr>
        <w:t>）人力保障</w:t>
      </w:r>
      <w:r>
        <w:t xml:space="preserve"> </w:t>
      </w:r>
    </w:p>
    <w:p w14:paraId="7D2024B6">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承担单位组建稳定的、专业的服务团队，负责本项目运维服务工作。服务团队人员必须具备良好的技术能力和业务能力以及丰富的项目经验，熟悉新媒体平台和内容编辑平台，精通相关软件，理解并支持委托方的宣传立场，熟悉委托方工作流程。服务团队人员应具有不低于2年的新媒体运维工作,具备平面设计、视频编辑及内容策划工作经验，提供服务团队的项目经验证明文件。运维服务团队要严格遵守用户方的各项规章制度和管理规定，爱岗敬业，能够与客户进行很好的沟通，具有很强的工作责任心和客户服务意识。</w:t>
      </w:r>
      <w:r>
        <w:t xml:space="preserve"> </w:t>
      </w:r>
    </w:p>
    <w:p w14:paraId="32CB9500">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pPr>
      <w:r>
        <w:rPr>
          <w:b/>
          <w:bCs/>
          <w:sz w:val="24"/>
          <w:szCs w:val="24"/>
        </w:rPr>
        <w:t>（</w:t>
      </w:r>
      <w:r>
        <w:rPr>
          <w:rFonts w:hint="eastAsia"/>
          <w:b/>
          <w:bCs/>
          <w:sz w:val="24"/>
          <w:szCs w:val="24"/>
          <w:lang w:eastAsia="zh-CN"/>
        </w:rPr>
        <w:t>三</w:t>
      </w:r>
      <w:r>
        <w:rPr>
          <w:b/>
          <w:bCs/>
          <w:sz w:val="24"/>
          <w:szCs w:val="24"/>
        </w:rPr>
        <w:t>）服务保障</w:t>
      </w:r>
      <w:r>
        <w:t xml:space="preserve"> </w:t>
      </w:r>
    </w:p>
    <w:p w14:paraId="16417AEA">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pPr>
      <w:r>
        <w:rPr>
          <w:sz w:val="24"/>
          <w:szCs w:val="24"/>
        </w:rPr>
        <w:t xml:space="preserve">1.根据实际情况运维新媒体内容及平台，有固定的运维人员进行日常的电话、网络或上门服务等形式的技术支持，以确保新媒体平台的正常运行； </w:t>
      </w:r>
    </w:p>
    <w:p w14:paraId="442A2932">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pPr>
      <w:r>
        <w:rPr>
          <w:sz w:val="24"/>
          <w:szCs w:val="24"/>
        </w:rPr>
        <w:t>2.为更好配合委托方的宣发工作，承担单位应提供更有效的响应及直接沟通，及时根据委托方反馈调整工作内容及方向；</w:t>
      </w:r>
      <w:r>
        <w:t xml:space="preserve"> </w:t>
      </w:r>
    </w:p>
    <w:p w14:paraId="0D33AE8F">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pPr>
      <w:r>
        <w:rPr>
          <w:sz w:val="24"/>
          <w:szCs w:val="24"/>
        </w:rPr>
        <w:t>3.在发现平台故障或其他问题时，应在短时间内向委托方用户作出充分的汇报沟通，提出解决方案，在得到委托方认可后争取第一时间处理问题，保障新媒体平稳运行；</w:t>
      </w:r>
      <w:r>
        <w:t xml:space="preserve"> </w:t>
      </w:r>
    </w:p>
    <w:p w14:paraId="58D4C3DE">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pPr>
      <w:r>
        <w:rPr>
          <w:sz w:val="24"/>
          <w:szCs w:val="24"/>
        </w:rPr>
        <w:t>4.承担单位应配合委托方参加运维例会，按季度提交季度运维审核材料。</w:t>
      </w:r>
      <w:r>
        <w:t xml:space="preserve"> </w:t>
      </w:r>
    </w:p>
    <w:p w14:paraId="47C218F6">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pPr>
      <w:r>
        <w:rPr>
          <w:sz w:val="24"/>
          <w:szCs w:val="24"/>
        </w:rPr>
        <w:t>四、申报和评审事宜</w:t>
      </w:r>
      <w:r>
        <w:t xml:space="preserve"> </w:t>
      </w:r>
    </w:p>
    <w:p w14:paraId="77061B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40" w:firstLineChars="100"/>
        <w:jc w:val="left"/>
        <w:textAlignment w:val="auto"/>
        <w:rPr>
          <w:sz w:val="24"/>
          <w:szCs w:val="24"/>
        </w:rPr>
      </w:pPr>
      <w:r>
        <w:rPr>
          <w:sz w:val="24"/>
          <w:szCs w:val="24"/>
        </w:rPr>
        <w:t>（一）申报期限：202</w:t>
      </w:r>
      <w:r>
        <w:rPr>
          <w:rFonts w:hint="eastAsia"/>
          <w:sz w:val="24"/>
          <w:szCs w:val="24"/>
          <w:lang w:val="en-US" w:eastAsia="zh-CN"/>
        </w:rPr>
        <w:t>5</w:t>
      </w:r>
      <w:r>
        <w:rPr>
          <w:sz w:val="24"/>
          <w:szCs w:val="24"/>
        </w:rPr>
        <w:t>年5月</w:t>
      </w:r>
      <w:r>
        <w:rPr>
          <w:rFonts w:hint="eastAsia"/>
          <w:sz w:val="24"/>
          <w:szCs w:val="24"/>
          <w:lang w:val="en-US" w:eastAsia="zh-CN"/>
        </w:rPr>
        <w:t>9</w:t>
      </w:r>
      <w:r>
        <w:rPr>
          <w:sz w:val="24"/>
          <w:szCs w:val="24"/>
        </w:rPr>
        <w:t>日—202</w:t>
      </w:r>
      <w:r>
        <w:rPr>
          <w:rFonts w:hint="eastAsia"/>
          <w:sz w:val="24"/>
          <w:szCs w:val="24"/>
          <w:lang w:val="en-US" w:eastAsia="zh-CN"/>
        </w:rPr>
        <w:t>5</w:t>
      </w:r>
      <w:r>
        <w:rPr>
          <w:sz w:val="24"/>
          <w:szCs w:val="24"/>
        </w:rPr>
        <w:t>年5月1</w:t>
      </w:r>
      <w:r>
        <w:rPr>
          <w:rFonts w:hint="eastAsia"/>
          <w:sz w:val="24"/>
          <w:szCs w:val="24"/>
          <w:lang w:val="en-US" w:eastAsia="zh-CN"/>
        </w:rPr>
        <w:t>5</w:t>
      </w:r>
      <w:r>
        <w:rPr>
          <w:sz w:val="24"/>
          <w:szCs w:val="24"/>
        </w:rPr>
        <w:t xml:space="preserve">日。 </w:t>
      </w:r>
    </w:p>
    <w:p w14:paraId="3145AFF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40" w:firstLineChars="100"/>
        <w:jc w:val="left"/>
        <w:textAlignment w:val="auto"/>
        <w:rPr>
          <w:sz w:val="24"/>
          <w:szCs w:val="24"/>
        </w:rPr>
      </w:pPr>
      <w:r>
        <w:rPr>
          <w:sz w:val="24"/>
          <w:szCs w:val="24"/>
        </w:rPr>
        <w:t>（二）下载材料：申请单位可登录北京市卫生健康委员会网站（</w:t>
      </w:r>
      <w:r>
        <w:rPr>
          <w:sz w:val="24"/>
          <w:szCs w:val="24"/>
        </w:rPr>
        <w:fldChar w:fldCharType="begin"/>
      </w:r>
      <w:r>
        <w:rPr>
          <w:sz w:val="24"/>
          <w:szCs w:val="24"/>
        </w:rPr>
        <w:instrText xml:space="preserve"> HYPERLINK "https://wjw.beijing.gov.cn/" \t "_blank" </w:instrText>
      </w:r>
      <w:r>
        <w:rPr>
          <w:sz w:val="24"/>
          <w:szCs w:val="24"/>
        </w:rPr>
        <w:fldChar w:fldCharType="separate"/>
      </w:r>
      <w:r>
        <w:rPr>
          <w:sz w:val="24"/>
          <w:szCs w:val="24"/>
        </w:rPr>
        <w:t>https://wjw.beijing.gov.cn/</w:t>
      </w:r>
      <w:r>
        <w:rPr>
          <w:sz w:val="24"/>
          <w:szCs w:val="24"/>
        </w:rPr>
        <w:fldChar w:fldCharType="end"/>
      </w:r>
      <w:r>
        <w:rPr>
          <w:sz w:val="24"/>
          <w:szCs w:val="24"/>
        </w:rPr>
        <w:t xml:space="preserve">）或北京市卫生健康大数据与政策研究中心网站（http://www.phic.org.cn/）下载《采购项目承办申请书》、《投标供应商之间应不存在控股、管理等关联关系的书面声明》、《主要股东或出资人信息表》。 </w:t>
      </w:r>
    </w:p>
    <w:p w14:paraId="7621C9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40" w:firstLineChars="100"/>
        <w:jc w:val="left"/>
        <w:textAlignment w:val="auto"/>
        <w:rPr>
          <w:sz w:val="24"/>
          <w:szCs w:val="24"/>
        </w:rPr>
      </w:pPr>
      <w:r>
        <w:rPr>
          <w:sz w:val="24"/>
          <w:szCs w:val="24"/>
        </w:rPr>
        <w:t xml:space="preserve">（三）填写材料：申请材料填写内容应简明扼要，突出重点。 </w:t>
      </w:r>
    </w:p>
    <w:p w14:paraId="194E50E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40" w:firstLineChars="100"/>
        <w:jc w:val="left"/>
        <w:textAlignment w:val="auto"/>
        <w:rPr>
          <w:sz w:val="24"/>
          <w:szCs w:val="24"/>
        </w:rPr>
      </w:pPr>
      <w:r>
        <w:rPr>
          <w:sz w:val="24"/>
          <w:szCs w:val="24"/>
        </w:rPr>
        <w:t>（四）提交材料：申请单位应在202</w:t>
      </w:r>
      <w:r>
        <w:rPr>
          <w:rFonts w:hint="eastAsia"/>
          <w:sz w:val="24"/>
          <w:szCs w:val="24"/>
          <w:lang w:val="en-US" w:eastAsia="zh-CN"/>
        </w:rPr>
        <w:t>5</w:t>
      </w:r>
      <w:r>
        <w:rPr>
          <w:sz w:val="24"/>
          <w:szCs w:val="24"/>
        </w:rPr>
        <w:t>年5月1</w:t>
      </w:r>
      <w:r>
        <w:rPr>
          <w:rFonts w:hint="eastAsia"/>
          <w:sz w:val="24"/>
          <w:szCs w:val="24"/>
          <w:lang w:val="en-US" w:eastAsia="zh-CN"/>
        </w:rPr>
        <w:t>5</w:t>
      </w:r>
      <w:r>
        <w:rPr>
          <w:sz w:val="24"/>
          <w:szCs w:val="24"/>
        </w:rPr>
        <w:t xml:space="preserve">日17:00以前将盖章的《采购项目承办申请书》及商务技术文档电子扫描件提交至：xxzxcgb@wjw.beijing.gov.cn。 </w:t>
      </w:r>
    </w:p>
    <w:p w14:paraId="7B1CD8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40" w:firstLineChars="100"/>
        <w:jc w:val="left"/>
        <w:textAlignment w:val="auto"/>
        <w:rPr>
          <w:sz w:val="24"/>
          <w:szCs w:val="24"/>
        </w:rPr>
      </w:pPr>
      <w:r>
        <w:rPr>
          <w:sz w:val="24"/>
          <w:szCs w:val="24"/>
        </w:rPr>
        <w:t>（五）组织评审：申请单位携带盖章的《采购项目承办申请书》、《投标供应商之间应不存在控股、管理等关联关系的书面声明》、《主要股东或出资人信息表》</w:t>
      </w:r>
      <w:bookmarkStart w:id="0" w:name="_GoBack"/>
      <w:bookmarkEnd w:id="0"/>
      <w:r>
        <w:rPr>
          <w:sz w:val="24"/>
          <w:szCs w:val="24"/>
        </w:rPr>
        <w:t xml:space="preserve">以及响应服务内容的商务和技术文档纸质版（以上材料装订成一册），共三份并密封，参加专家遴选评审会。北京市卫生健康大数据与政策研究中心将组织评审小组，从项目方案的科学合理性、创新性和可行性，项目团队实力和工作经验基础等方面，对申请单位的申请书进行评估，择优遴选1家项目承担单位。具体评审时间另行通知。 </w:t>
      </w:r>
    </w:p>
    <w:p w14:paraId="253BAA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40" w:firstLineChars="100"/>
        <w:jc w:val="left"/>
        <w:textAlignment w:val="auto"/>
        <w:rPr>
          <w:sz w:val="24"/>
          <w:szCs w:val="24"/>
        </w:rPr>
      </w:pPr>
      <w:r>
        <w:rPr>
          <w:sz w:val="24"/>
          <w:szCs w:val="24"/>
        </w:rPr>
        <w:t xml:space="preserve">（六）结果公示：北京市卫生健康委员会网站和北京市卫生健康大数据与政策研究中心网站予以公示。 </w:t>
      </w:r>
    </w:p>
    <w:p w14:paraId="4FBD9C2F">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pPr>
      <w:r>
        <w:rPr>
          <w:sz w:val="24"/>
          <w:szCs w:val="24"/>
        </w:rPr>
        <w:t>五、项目经费</w:t>
      </w:r>
      <w:r>
        <w:t xml:space="preserve"> </w:t>
      </w:r>
    </w:p>
    <w:p w14:paraId="436A28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项目经费不得超过18万元。</w:t>
      </w:r>
      <w:r>
        <w:t xml:space="preserve"> </w:t>
      </w:r>
    </w:p>
    <w:p w14:paraId="3D696880">
      <w:pPr>
        <w:pStyle w:val="2"/>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pPr>
      <w:r>
        <w:rPr>
          <w:sz w:val="24"/>
          <w:szCs w:val="24"/>
        </w:rPr>
        <w:t>六、联系方式</w:t>
      </w:r>
      <w:r>
        <w:t xml:space="preserve"> </w:t>
      </w:r>
    </w:p>
    <w:p w14:paraId="4AEF0FD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北京市卫生健康大数据与政策研究中心</w:t>
      </w:r>
      <w:r>
        <w:t xml:space="preserve"> </w:t>
      </w:r>
    </w:p>
    <w:p w14:paraId="278307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联系人：姜冰</w:t>
      </w:r>
      <w:r>
        <w:t xml:space="preserve"> </w:t>
      </w:r>
    </w:p>
    <w:p w14:paraId="54C912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联系电话：55532285</w:t>
      </w:r>
      <w:r>
        <w:t xml:space="preserve"> </w:t>
      </w:r>
    </w:p>
    <w:p w14:paraId="10571D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pPr>
      <w:r>
        <w:rPr>
          <w:sz w:val="24"/>
          <w:szCs w:val="24"/>
        </w:rPr>
        <w:t>附件：《采购项目承办申请书》、《投标供应商之间应不存在控股、管理等关联关系的书面声明》、《主要股东或出资人信息表》</w:t>
      </w:r>
    </w:p>
    <w:p w14:paraId="1BD1F90B">
      <w:pPr>
        <w:keepNext w:val="0"/>
        <w:keepLines w:val="0"/>
        <w:pageBreakBefore w:val="0"/>
        <w:kinsoku/>
        <w:wordWrap/>
        <w:overflowPunct/>
        <w:topLinePunct w:val="0"/>
        <w:autoSpaceDE/>
        <w:autoSpaceDN/>
        <w:bidi w:val="0"/>
        <w:adjustRightInd/>
        <w:snapToGrid/>
        <w:spacing w:beforeAutospacing="0" w:afterAutospacing="0" w:line="4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zhhZjVlNGFjMjYxZjE3ZmU1OTIyNzczYjBjMzUifQ=="/>
  </w:docVars>
  <w:rsids>
    <w:rsidRoot w:val="38D605BD"/>
    <w:rsid w:val="073328D3"/>
    <w:rsid w:val="0AE164C9"/>
    <w:rsid w:val="178B35DD"/>
    <w:rsid w:val="19685366"/>
    <w:rsid w:val="1C6F71AD"/>
    <w:rsid w:val="1CF46FC1"/>
    <w:rsid w:val="38D605BD"/>
    <w:rsid w:val="3FCD3227"/>
    <w:rsid w:val="46F8307C"/>
    <w:rsid w:val="546141E6"/>
    <w:rsid w:val="55A9312C"/>
    <w:rsid w:val="629D5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902</Words>
  <Characters>921</Characters>
  <Lines>0</Lines>
  <Paragraphs>0</Paragraphs>
  <TotalTime>1</TotalTime>
  <ScaleCrop>false</ScaleCrop>
  <LinksUpToDate>false</LinksUpToDate>
  <CharactersWithSpaces>938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2025-05-06T10:03:00Z</dcterms:created>
  <dc:creator>Flower晶晶</dc:creator>
  <cp:lastModifiedBy>杰</cp:lastModifiedBy>
  <dcterms:modified xsi:type="dcterms:W3CDTF">2025-05-16T02:34:39Z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3DEBE9DE2A474C4BB9454B4C5988B447_11</vt:lpwstr>
  </property>
  <property fmtid="{D5CDD505-2E9C-101B-9397-08002B2CF9AE}" pid="4" name="KSOTemplateDocerSaveRecord">
    <vt:lpwstr>eyJoZGlkIjoiZjA2MDI3OTE4ZDFlYWJkMDVjNzJjZjAwOWFhMjUxNDYiLCJ1c2VySWQiOiI2OTQ2NjI4MzkifQ==</vt:lpwstr>
  </property>
</Properties>
</file>