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outlineLvl w:val="1"/>
        <w:rPr>
          <w:rFonts w:ascii="仿宋" w:hAnsi="仿宋" w:eastAsia="仿宋" w:cs="宋体"/>
          <w:bCs/>
          <w:sz w:val="28"/>
          <w:szCs w:val="28"/>
        </w:rPr>
      </w:pPr>
      <w:r>
        <w:rPr>
          <w:rFonts w:hint="eastAsia" w:ascii="仿宋" w:hAnsi="仿宋" w:eastAsia="仿宋" w:cs="宋体"/>
          <w:bCs/>
          <w:sz w:val="28"/>
          <w:szCs w:val="28"/>
        </w:rPr>
        <w:t>商务审查表</w:t>
      </w:r>
    </w:p>
    <w:tbl>
      <w:tblPr>
        <w:tblStyle w:val="11"/>
        <w:tblW w:w="8528" w:type="dxa"/>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评分分值计算保留小数点后两位，第三位四舍五入。</w:t>
      </w:r>
    </w:p>
    <w:p>
      <w:pPr>
        <w:spacing w:line="360" w:lineRule="auto"/>
        <w:rPr>
          <w:rFonts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widowControl/>
        <w:jc w:val="left"/>
        <w:rPr>
          <w:rFonts w:ascii="仿宋" w:hAnsi="仿宋" w:eastAsia="仿宋" w:cs="宋体"/>
          <w:b/>
          <w:bCs/>
          <w:sz w:val="28"/>
          <w:szCs w:val="28"/>
        </w:rPr>
      </w:pPr>
      <w:r>
        <w:rPr>
          <w:rFonts w:ascii="仿宋" w:hAnsi="仿宋" w:eastAsia="仿宋" w:cs="宋体"/>
          <w:b/>
          <w:bCs/>
          <w:sz w:val="28"/>
          <w:szCs w:val="28"/>
        </w:rPr>
        <w:br w:type="page"/>
      </w:r>
    </w:p>
    <w:p>
      <w:pPr>
        <w:pStyle w:val="3"/>
      </w:pPr>
      <w:r>
        <w:t>评分表</w:t>
      </w:r>
    </w:p>
    <w:tbl>
      <w:tblPr>
        <w:tblStyle w:val="11"/>
        <w:tblW w:w="86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182"/>
        <w:gridCol w:w="1191"/>
        <w:gridCol w:w="5626"/>
        <w:gridCol w:w="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0" w:hRule="atLeast"/>
        </w:trPr>
        <w:tc>
          <w:tcPr>
            <w:tcW w:w="1182" w:type="dxa"/>
            <w:vAlign w:val="center"/>
          </w:tcPr>
          <w:p>
            <w:pPr>
              <w:pStyle w:val="10"/>
              <w:ind w:left="21" w:leftChars="10" w:firstLine="0" w:firstLineChars="0"/>
              <w:jc w:val="center"/>
              <w:rPr>
                <w:rFonts w:ascii="仿宋" w:hAnsi="仿宋" w:eastAsia="仿宋"/>
                <w:szCs w:val="21"/>
              </w:rPr>
            </w:pPr>
            <w:r>
              <w:rPr>
                <w:rFonts w:hint="eastAsia" w:ascii="仿宋" w:hAnsi="仿宋" w:eastAsia="仿宋"/>
                <w:b/>
                <w:szCs w:val="21"/>
              </w:rPr>
              <w:t>内容</w:t>
            </w:r>
          </w:p>
        </w:tc>
        <w:tc>
          <w:tcPr>
            <w:tcW w:w="1191" w:type="dxa"/>
            <w:vAlign w:val="center"/>
          </w:tcPr>
          <w:p>
            <w:pPr>
              <w:pStyle w:val="10"/>
              <w:ind w:firstLine="0" w:firstLineChars="0"/>
              <w:jc w:val="center"/>
              <w:rPr>
                <w:rFonts w:ascii="仿宋" w:hAnsi="仿宋" w:eastAsia="仿宋"/>
                <w:szCs w:val="21"/>
              </w:rPr>
            </w:pPr>
            <w:r>
              <w:rPr>
                <w:rFonts w:hint="eastAsia" w:ascii="仿宋" w:hAnsi="仿宋" w:eastAsia="仿宋"/>
                <w:b/>
                <w:szCs w:val="21"/>
              </w:rPr>
              <w:t>评分内容</w:t>
            </w:r>
          </w:p>
        </w:tc>
        <w:tc>
          <w:tcPr>
            <w:tcW w:w="5626" w:type="dxa"/>
            <w:vAlign w:val="center"/>
          </w:tcPr>
          <w:p>
            <w:pPr>
              <w:pStyle w:val="10"/>
              <w:ind w:firstLine="0" w:firstLineChars="0"/>
              <w:jc w:val="center"/>
              <w:rPr>
                <w:rFonts w:ascii="仿宋" w:hAnsi="仿宋" w:eastAsia="仿宋"/>
                <w:szCs w:val="21"/>
              </w:rPr>
            </w:pPr>
            <w:r>
              <w:rPr>
                <w:rFonts w:hint="eastAsia" w:ascii="仿宋" w:hAnsi="仿宋" w:eastAsia="仿宋"/>
                <w:b/>
                <w:szCs w:val="21"/>
              </w:rPr>
              <w:t>评标标准</w:t>
            </w:r>
          </w:p>
        </w:tc>
        <w:tc>
          <w:tcPr>
            <w:tcW w:w="644" w:type="dxa"/>
            <w:vAlign w:val="center"/>
          </w:tcPr>
          <w:p>
            <w:pPr>
              <w:pStyle w:val="10"/>
              <w:ind w:firstLine="0" w:firstLineChars="0"/>
              <w:jc w:val="center"/>
              <w:rPr>
                <w:rFonts w:ascii="仿宋" w:hAnsi="仿宋" w:eastAsia="仿宋"/>
                <w:b/>
                <w:szCs w:val="21"/>
              </w:rPr>
            </w:pPr>
            <w:r>
              <w:rPr>
                <w:rFonts w:hint="eastAsia" w:ascii="仿宋" w:hAnsi="仿宋" w:eastAsia="仿宋"/>
                <w:b/>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299" w:hRule="atLeast"/>
        </w:trPr>
        <w:tc>
          <w:tcPr>
            <w:tcW w:w="1182" w:type="dxa"/>
            <w:vAlign w:val="center"/>
          </w:tcPr>
          <w:p>
            <w:pPr>
              <w:pStyle w:val="10"/>
              <w:ind w:left="21" w:leftChars="10" w:firstLine="0" w:firstLineChars="0"/>
              <w:rPr>
                <w:rFonts w:ascii="仿宋" w:hAnsi="仿宋" w:eastAsia="仿宋"/>
                <w:b/>
                <w:bCs/>
                <w:sz w:val="24"/>
                <w:szCs w:val="24"/>
              </w:rPr>
            </w:pPr>
            <w:r>
              <w:rPr>
                <w:rFonts w:hint="eastAsia" w:ascii="仿宋" w:hAnsi="仿宋" w:eastAsia="仿宋"/>
                <w:b/>
                <w:bCs/>
                <w:sz w:val="24"/>
                <w:szCs w:val="24"/>
              </w:rPr>
              <w:t>价格部分（10分）</w:t>
            </w:r>
          </w:p>
        </w:tc>
        <w:tc>
          <w:tcPr>
            <w:tcW w:w="1191" w:type="dxa"/>
            <w:vAlign w:val="center"/>
          </w:tcPr>
          <w:p>
            <w:pPr>
              <w:pStyle w:val="10"/>
              <w:ind w:firstLine="0" w:firstLineChars="0"/>
              <w:jc w:val="center"/>
              <w:rPr>
                <w:rFonts w:ascii="仿宋" w:hAnsi="仿宋" w:eastAsia="仿宋" w:cs="宋体"/>
                <w:b/>
                <w:bCs/>
                <w:sz w:val="24"/>
                <w:szCs w:val="24"/>
              </w:rPr>
            </w:pPr>
            <w:r>
              <w:rPr>
                <w:rFonts w:hint="eastAsia" w:ascii="仿宋" w:hAnsi="仿宋" w:eastAsia="仿宋" w:cs="宋体"/>
                <w:b/>
                <w:bCs/>
                <w:sz w:val="24"/>
                <w:szCs w:val="24"/>
              </w:rPr>
              <w:t>遴选报价</w:t>
            </w:r>
          </w:p>
          <w:p>
            <w:pPr>
              <w:pStyle w:val="10"/>
              <w:ind w:firstLine="0" w:firstLineChars="0"/>
              <w:jc w:val="center"/>
              <w:rPr>
                <w:rFonts w:ascii="仿宋" w:hAnsi="仿宋" w:eastAsia="仿宋"/>
                <w:b/>
                <w:bCs/>
                <w:sz w:val="24"/>
                <w:szCs w:val="24"/>
              </w:rPr>
            </w:pPr>
            <w:r>
              <w:rPr>
                <w:rFonts w:hint="eastAsia" w:ascii="仿宋" w:hAnsi="仿宋" w:eastAsia="仿宋"/>
                <w:b/>
                <w:bCs/>
                <w:sz w:val="24"/>
                <w:szCs w:val="24"/>
              </w:rPr>
              <w:t>（10分）</w:t>
            </w:r>
          </w:p>
        </w:tc>
        <w:tc>
          <w:tcPr>
            <w:tcW w:w="5626" w:type="dxa"/>
            <w:vAlign w:val="center"/>
          </w:tcPr>
          <w:p>
            <w:pPr>
              <w:rPr>
                <w:rFonts w:ascii="仿宋" w:hAnsi="仿宋" w:eastAsia="仿宋"/>
                <w:szCs w:val="21"/>
              </w:rPr>
            </w:pPr>
            <w:r>
              <w:rPr>
                <w:rFonts w:hint="eastAsia" w:ascii="仿宋" w:hAnsi="仿宋" w:eastAsia="仿宋" w:cs="仿宋_GB2312"/>
                <w:szCs w:val="21"/>
              </w:rPr>
              <w:t>综合评分法中的价格分统一采用低价优先法计算，即满足遴选文件要求且价格最低的评审价为评标基准价，其价格分为满分。其他供应商的价格分统一按照下列公式计算：价格分数=（基准价/遴选报价）×价格权值1</w:t>
            </w:r>
            <w:r>
              <w:rPr>
                <w:rFonts w:ascii="仿宋" w:hAnsi="仿宋" w:eastAsia="仿宋" w:cs="仿宋_GB2312"/>
                <w:szCs w:val="21"/>
              </w:rPr>
              <w:t>0%</w:t>
            </w:r>
            <w:r>
              <w:rPr>
                <w:rFonts w:hint="eastAsia" w:ascii="仿宋" w:hAnsi="仿宋" w:eastAsia="仿宋" w:cs="仿宋_GB2312"/>
                <w:szCs w:val="21"/>
              </w:rPr>
              <w:t>×10</w:t>
            </w:r>
            <w:r>
              <w:rPr>
                <w:rFonts w:ascii="仿宋" w:hAnsi="仿宋" w:eastAsia="仿宋" w:cs="仿宋_GB2312"/>
                <w:szCs w:val="21"/>
              </w:rPr>
              <w:t>0</w:t>
            </w:r>
          </w:p>
        </w:tc>
        <w:tc>
          <w:tcPr>
            <w:tcW w:w="644" w:type="dxa"/>
          </w:tcPr>
          <w:p>
            <w:pPr>
              <w:jc w:val="center"/>
              <w:rPr>
                <w:rFonts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45" w:hRule="atLeast"/>
        </w:trPr>
        <w:tc>
          <w:tcPr>
            <w:tcW w:w="1182" w:type="dxa"/>
            <w:vAlign w:val="center"/>
          </w:tcPr>
          <w:p>
            <w:pPr>
              <w:pStyle w:val="10"/>
              <w:ind w:left="21" w:leftChars="10" w:firstLine="0" w:firstLineChars="0"/>
              <w:rPr>
                <w:rFonts w:ascii="仿宋" w:hAnsi="仿宋" w:eastAsia="仿宋"/>
                <w:b/>
                <w:bCs/>
                <w:sz w:val="24"/>
                <w:szCs w:val="24"/>
                <w:highlight w:val="none"/>
              </w:rPr>
            </w:pPr>
            <w:r>
              <w:rPr>
                <w:rFonts w:hint="eastAsia" w:ascii="仿宋" w:hAnsi="仿宋" w:eastAsia="仿宋"/>
                <w:b/>
                <w:bCs/>
                <w:sz w:val="24"/>
                <w:szCs w:val="24"/>
                <w:highlight w:val="none"/>
              </w:rPr>
              <w:t>商务部分（2</w:t>
            </w:r>
            <w:r>
              <w:rPr>
                <w:rFonts w:ascii="仿宋" w:hAnsi="仿宋" w:eastAsia="仿宋"/>
                <w:b/>
                <w:bCs/>
                <w:sz w:val="24"/>
                <w:szCs w:val="24"/>
                <w:highlight w:val="none"/>
              </w:rPr>
              <w:t>0</w:t>
            </w:r>
            <w:r>
              <w:rPr>
                <w:rFonts w:hint="eastAsia" w:ascii="仿宋" w:hAnsi="仿宋" w:eastAsia="仿宋"/>
                <w:b/>
                <w:bCs/>
                <w:sz w:val="24"/>
                <w:szCs w:val="24"/>
                <w:highlight w:val="none"/>
              </w:rPr>
              <w:t>分）</w:t>
            </w:r>
          </w:p>
        </w:tc>
        <w:tc>
          <w:tcPr>
            <w:tcW w:w="1191" w:type="dxa"/>
            <w:vAlign w:val="center"/>
          </w:tcPr>
          <w:p>
            <w:pPr>
              <w:pStyle w:val="10"/>
              <w:ind w:firstLine="0" w:firstLineChars="0"/>
              <w:jc w:val="center"/>
              <w:rPr>
                <w:rFonts w:ascii="仿宋" w:hAnsi="仿宋" w:eastAsia="仿宋" w:cs="仿宋_GB2312"/>
                <w:b/>
                <w:bCs/>
                <w:sz w:val="24"/>
                <w:szCs w:val="24"/>
                <w:highlight w:val="none"/>
              </w:rPr>
            </w:pPr>
            <w:r>
              <w:rPr>
                <w:rFonts w:hint="eastAsia" w:ascii="仿宋" w:hAnsi="仿宋" w:eastAsia="仿宋" w:cs="仿宋_GB2312"/>
                <w:b/>
                <w:bCs/>
                <w:sz w:val="24"/>
                <w:szCs w:val="24"/>
                <w:highlight w:val="none"/>
              </w:rPr>
              <w:t>供应商</w:t>
            </w:r>
          </w:p>
          <w:p>
            <w:pPr>
              <w:pStyle w:val="10"/>
              <w:ind w:firstLine="0" w:firstLineChars="0"/>
              <w:jc w:val="center"/>
              <w:rPr>
                <w:rFonts w:ascii="仿宋" w:hAnsi="仿宋" w:eastAsia="仿宋" w:cs="仿宋_GB2312"/>
                <w:b/>
                <w:bCs/>
                <w:sz w:val="24"/>
                <w:szCs w:val="24"/>
                <w:highlight w:val="none"/>
              </w:rPr>
            </w:pPr>
            <w:r>
              <w:rPr>
                <w:rFonts w:hint="eastAsia" w:ascii="仿宋" w:hAnsi="仿宋" w:eastAsia="仿宋" w:cs="仿宋_GB2312"/>
                <w:b/>
                <w:bCs/>
                <w:sz w:val="24"/>
                <w:szCs w:val="24"/>
                <w:highlight w:val="none"/>
              </w:rPr>
              <w:t>业绩</w:t>
            </w:r>
          </w:p>
          <w:p>
            <w:pPr>
              <w:pStyle w:val="10"/>
              <w:ind w:firstLine="0" w:firstLineChars="0"/>
              <w:jc w:val="center"/>
              <w:rPr>
                <w:rFonts w:ascii="仿宋" w:hAnsi="仿宋" w:eastAsia="仿宋"/>
                <w:b/>
                <w:bCs/>
                <w:sz w:val="24"/>
                <w:szCs w:val="24"/>
                <w:highlight w:val="none"/>
              </w:rPr>
            </w:pPr>
            <w:r>
              <w:rPr>
                <w:rFonts w:hint="eastAsia" w:ascii="仿宋" w:hAnsi="仿宋" w:eastAsia="仿宋"/>
                <w:b/>
                <w:bCs/>
                <w:sz w:val="24"/>
                <w:szCs w:val="24"/>
                <w:highlight w:val="none"/>
              </w:rPr>
              <w:t>（20分）</w:t>
            </w:r>
          </w:p>
        </w:tc>
        <w:tc>
          <w:tcPr>
            <w:tcW w:w="5626" w:type="dxa"/>
            <w:vAlign w:val="center"/>
          </w:tcPr>
          <w:p>
            <w:pPr>
              <w:rPr>
                <w:rFonts w:ascii="仿宋" w:hAnsi="仿宋" w:eastAsia="仿宋" w:cs="仿宋_GB2312"/>
                <w:kern w:val="0"/>
                <w:szCs w:val="21"/>
                <w:highlight w:val="none"/>
              </w:rPr>
            </w:pPr>
            <w:r>
              <w:rPr>
                <w:rFonts w:hint="eastAsia" w:ascii="仿宋" w:hAnsi="仿宋" w:eastAsia="仿宋" w:cs="仿宋_GB2312"/>
                <w:kern w:val="0"/>
                <w:szCs w:val="21"/>
                <w:highlight w:val="none"/>
              </w:rPr>
              <w:t>综合考虑投标方近3年承担相关政府委托项目情况。</w:t>
            </w:r>
          </w:p>
          <w:p>
            <w:pPr>
              <w:rPr>
                <w:rFonts w:ascii="仿宋" w:hAnsi="仿宋" w:eastAsia="仿宋" w:cs="仿宋_GB2312"/>
                <w:kern w:val="0"/>
                <w:szCs w:val="21"/>
                <w:highlight w:val="none"/>
              </w:rPr>
            </w:pPr>
            <w:r>
              <w:rPr>
                <w:rFonts w:hint="eastAsia" w:ascii="仿宋" w:hAnsi="仿宋" w:eastAsia="仿宋" w:cs="仿宋_GB2312"/>
                <w:kern w:val="0"/>
                <w:szCs w:val="21"/>
                <w:highlight w:val="none"/>
              </w:rPr>
              <w:t>根据项目级别、水平和社会效应进行酌情评价。国家或市级层面5分/</w:t>
            </w:r>
            <w:bookmarkStart w:id="0" w:name="_GoBack"/>
            <w:r>
              <w:rPr>
                <w:rFonts w:hint="eastAsia" w:ascii="仿宋" w:hAnsi="仿宋" w:eastAsia="仿宋" w:cs="仿宋_GB2312"/>
                <w:kern w:val="0"/>
                <w:szCs w:val="21"/>
                <w:highlight w:val="none"/>
              </w:rPr>
              <w:t>每个，区级层面2分/每个，最高20分。</w:t>
            </w:r>
          </w:p>
          <w:p>
            <w:pPr>
              <w:rPr>
                <w:rFonts w:hint="eastAsia"/>
                <w:highlight w:val="none"/>
              </w:rPr>
            </w:pPr>
            <w:r>
              <w:rPr>
                <w:rFonts w:hint="eastAsia" w:ascii="仿宋" w:hAnsi="仿宋" w:eastAsia="仿宋" w:cs="仿宋_GB2312"/>
                <w:kern w:val="0"/>
                <w:szCs w:val="21"/>
                <w:highlight w:val="none"/>
              </w:rPr>
              <w:t>须附项目合同书首页及签字盖章页。</w:t>
            </w:r>
            <w:bookmarkEnd w:id="0"/>
          </w:p>
        </w:tc>
        <w:tc>
          <w:tcPr>
            <w:tcW w:w="644" w:type="dxa"/>
          </w:tcPr>
          <w:p>
            <w:pPr>
              <w:jc w:val="center"/>
              <w:rPr>
                <w:rFonts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518" w:hRule="atLeast"/>
        </w:trPr>
        <w:tc>
          <w:tcPr>
            <w:tcW w:w="1182" w:type="dxa"/>
            <w:vMerge w:val="restart"/>
          </w:tcPr>
          <w:p>
            <w:pPr>
              <w:pStyle w:val="10"/>
              <w:ind w:left="21" w:leftChars="10" w:firstLine="482"/>
              <w:rPr>
                <w:rFonts w:ascii="仿宋" w:hAnsi="仿宋" w:eastAsia="仿宋"/>
                <w:b/>
                <w:bCs/>
                <w:sz w:val="24"/>
                <w:szCs w:val="24"/>
              </w:rPr>
            </w:pPr>
          </w:p>
          <w:p>
            <w:pPr>
              <w:pStyle w:val="10"/>
              <w:ind w:left="21" w:leftChars="10" w:firstLine="482"/>
              <w:rPr>
                <w:rFonts w:ascii="仿宋" w:hAnsi="仿宋" w:eastAsia="仿宋"/>
                <w:b/>
                <w:bCs/>
                <w:sz w:val="24"/>
                <w:szCs w:val="24"/>
              </w:rPr>
            </w:pPr>
          </w:p>
          <w:p>
            <w:pPr>
              <w:pStyle w:val="10"/>
              <w:ind w:left="22" w:leftChars="10" w:hanging="1" w:firstLineChars="0"/>
              <w:rPr>
                <w:rFonts w:ascii="仿宋" w:hAnsi="仿宋" w:eastAsia="仿宋"/>
                <w:b/>
                <w:bCs/>
                <w:sz w:val="24"/>
                <w:szCs w:val="24"/>
              </w:rPr>
            </w:pPr>
            <w:r>
              <w:rPr>
                <w:rFonts w:hint="eastAsia" w:ascii="仿宋" w:hAnsi="仿宋" w:eastAsia="仿宋"/>
                <w:b/>
                <w:bCs/>
                <w:sz w:val="24"/>
                <w:szCs w:val="24"/>
              </w:rPr>
              <w:t>业务计划（7</w:t>
            </w:r>
            <w:r>
              <w:rPr>
                <w:rFonts w:ascii="仿宋" w:hAnsi="仿宋" w:eastAsia="仿宋"/>
                <w:b/>
                <w:bCs/>
                <w:sz w:val="24"/>
                <w:szCs w:val="24"/>
              </w:rPr>
              <w:t>0</w:t>
            </w:r>
            <w:r>
              <w:rPr>
                <w:rFonts w:hint="eastAsia" w:ascii="仿宋" w:hAnsi="仿宋" w:eastAsia="仿宋"/>
                <w:b/>
                <w:bCs/>
                <w:sz w:val="24"/>
                <w:szCs w:val="24"/>
              </w:rPr>
              <w:t>分）</w:t>
            </w:r>
          </w:p>
        </w:tc>
        <w:tc>
          <w:tcPr>
            <w:tcW w:w="1191" w:type="dxa"/>
            <w:vAlign w:val="center"/>
          </w:tcPr>
          <w:p>
            <w:pPr>
              <w:pStyle w:val="10"/>
              <w:ind w:firstLine="0" w:firstLineChars="0"/>
              <w:jc w:val="center"/>
              <w:rPr>
                <w:rFonts w:ascii="仿宋" w:hAnsi="仿宋" w:eastAsia="仿宋"/>
                <w:b/>
                <w:bCs/>
                <w:sz w:val="24"/>
                <w:szCs w:val="24"/>
              </w:rPr>
            </w:pPr>
            <w:r>
              <w:rPr>
                <w:rFonts w:hint="eastAsia" w:ascii="仿宋" w:hAnsi="仿宋" w:eastAsia="仿宋"/>
                <w:b/>
                <w:bCs/>
                <w:sz w:val="24"/>
                <w:szCs w:val="24"/>
              </w:rPr>
              <w:t>项目理解与分析</w:t>
            </w:r>
          </w:p>
          <w:p>
            <w:pPr>
              <w:pStyle w:val="10"/>
              <w:ind w:firstLine="0" w:firstLineChars="0"/>
              <w:rPr>
                <w:rFonts w:ascii="仿宋" w:hAnsi="仿宋" w:eastAsia="仿宋"/>
                <w:b/>
                <w:bCs/>
                <w:sz w:val="24"/>
                <w:szCs w:val="24"/>
              </w:rPr>
            </w:pPr>
            <w:r>
              <w:rPr>
                <w:rFonts w:hint="eastAsia" w:ascii="仿宋" w:hAnsi="仿宋" w:eastAsia="仿宋"/>
                <w:b/>
                <w:bCs/>
                <w:sz w:val="24"/>
                <w:szCs w:val="24"/>
              </w:rPr>
              <w:t>（10分）</w:t>
            </w:r>
          </w:p>
        </w:tc>
        <w:tc>
          <w:tcPr>
            <w:tcW w:w="5626" w:type="dxa"/>
            <w:vAlign w:val="center"/>
          </w:tcPr>
          <w:p>
            <w:pPr>
              <w:rPr>
                <w:rFonts w:ascii="仿宋" w:hAnsi="仿宋" w:eastAsia="仿宋" w:cs="仿宋_GB2312"/>
                <w:szCs w:val="21"/>
              </w:rPr>
            </w:pPr>
            <w:r>
              <w:rPr>
                <w:rFonts w:hint="eastAsia" w:ascii="仿宋" w:hAnsi="仿宋" w:eastAsia="仿宋" w:cs="仿宋_GB2312"/>
                <w:szCs w:val="21"/>
              </w:rPr>
              <w:t>投标方对本项目的理解及实施重点、难点的分析。</w:t>
            </w:r>
          </w:p>
          <w:p>
            <w:pPr>
              <w:rPr>
                <w:rFonts w:ascii="仿宋" w:hAnsi="仿宋" w:eastAsia="仿宋" w:cs="仿宋_GB2312"/>
                <w:szCs w:val="21"/>
              </w:rPr>
            </w:pPr>
            <w:r>
              <w:rPr>
                <w:rFonts w:hint="eastAsia" w:ascii="仿宋" w:hAnsi="仿宋" w:eastAsia="仿宋" w:cs="仿宋_GB2312"/>
                <w:szCs w:val="21"/>
              </w:rPr>
              <w:t>项目理解及分析清楚、透彻且满足实际采购需求，得10分；</w:t>
            </w:r>
          </w:p>
          <w:p>
            <w:pPr>
              <w:rPr>
                <w:rFonts w:ascii="仿宋" w:hAnsi="仿宋" w:eastAsia="仿宋" w:cs="仿宋_GB2312"/>
                <w:szCs w:val="21"/>
              </w:rPr>
            </w:pPr>
            <w:r>
              <w:rPr>
                <w:rFonts w:hint="eastAsia" w:ascii="仿宋" w:hAnsi="仿宋" w:eastAsia="仿宋" w:cs="仿宋_GB2312"/>
                <w:szCs w:val="21"/>
              </w:rPr>
              <w:t>项目理解及分析较透彻，贴合实际采购需求，得6分；</w:t>
            </w:r>
          </w:p>
          <w:p>
            <w:pPr>
              <w:rPr>
                <w:rFonts w:ascii="仿宋" w:hAnsi="仿宋" w:eastAsia="仿宋" w:cs="仿宋_GB2312"/>
                <w:szCs w:val="21"/>
              </w:rPr>
            </w:pPr>
            <w:r>
              <w:rPr>
                <w:rFonts w:hint="eastAsia" w:ascii="仿宋" w:hAnsi="仿宋" w:eastAsia="仿宋" w:cs="仿宋_GB2312"/>
                <w:szCs w:val="21"/>
              </w:rPr>
              <w:t>项目理解及分析基本透彻，基本贴合实际采购需求，得3分；</w:t>
            </w:r>
          </w:p>
          <w:p>
            <w:pPr>
              <w:rPr>
                <w:rFonts w:ascii="仿宋" w:hAnsi="仿宋" w:eastAsia="仿宋" w:cs="仿宋_GB2312"/>
                <w:szCs w:val="21"/>
              </w:rPr>
            </w:pPr>
            <w:r>
              <w:rPr>
                <w:rFonts w:hint="eastAsia" w:ascii="仿宋" w:hAnsi="仿宋" w:eastAsia="仿宋" w:cs="仿宋_GB2312"/>
                <w:szCs w:val="21"/>
              </w:rPr>
              <w:t>未提供相关内容得0分。</w:t>
            </w:r>
          </w:p>
        </w:tc>
        <w:tc>
          <w:tcPr>
            <w:tcW w:w="644" w:type="dxa"/>
          </w:tcPr>
          <w:p>
            <w:pPr>
              <w:pStyle w:val="10"/>
              <w:ind w:firstLine="0" w:firstLineChars="0"/>
              <w:jc w:val="center"/>
              <w:rPr>
                <w:rFonts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2432" w:hRule="atLeast"/>
        </w:trPr>
        <w:tc>
          <w:tcPr>
            <w:tcW w:w="1182" w:type="dxa"/>
            <w:vMerge w:val="continue"/>
          </w:tcPr>
          <w:p>
            <w:pPr>
              <w:pStyle w:val="10"/>
              <w:ind w:left="21" w:leftChars="10" w:firstLine="482"/>
              <w:rPr>
                <w:rFonts w:ascii="仿宋" w:hAnsi="仿宋" w:eastAsia="仿宋"/>
                <w:b/>
                <w:bCs/>
                <w:sz w:val="24"/>
                <w:szCs w:val="24"/>
              </w:rPr>
            </w:pPr>
          </w:p>
        </w:tc>
        <w:tc>
          <w:tcPr>
            <w:tcW w:w="1191" w:type="dxa"/>
            <w:vAlign w:val="center"/>
          </w:tcPr>
          <w:p>
            <w:pPr>
              <w:pStyle w:val="10"/>
              <w:ind w:firstLine="0" w:firstLineChars="0"/>
              <w:jc w:val="center"/>
              <w:rPr>
                <w:rFonts w:ascii="仿宋" w:hAnsi="仿宋" w:eastAsia="仿宋"/>
                <w:b/>
                <w:bCs/>
                <w:sz w:val="24"/>
                <w:szCs w:val="24"/>
              </w:rPr>
            </w:pPr>
            <w:r>
              <w:rPr>
                <w:rFonts w:hint="eastAsia" w:ascii="仿宋" w:hAnsi="仿宋" w:eastAsia="仿宋"/>
                <w:b/>
                <w:bCs/>
                <w:sz w:val="24"/>
                <w:szCs w:val="24"/>
              </w:rPr>
              <w:t>服务方案</w:t>
            </w:r>
          </w:p>
          <w:p>
            <w:pPr>
              <w:pStyle w:val="10"/>
              <w:ind w:firstLine="0" w:firstLineChars="0"/>
              <w:jc w:val="center"/>
              <w:rPr>
                <w:rFonts w:ascii="仿宋" w:hAnsi="仿宋" w:eastAsia="仿宋"/>
                <w:b/>
                <w:bCs/>
                <w:sz w:val="24"/>
                <w:szCs w:val="24"/>
              </w:rPr>
            </w:pPr>
            <w:r>
              <w:rPr>
                <w:rFonts w:hint="eastAsia" w:ascii="仿宋" w:hAnsi="仿宋" w:eastAsia="仿宋"/>
                <w:b/>
                <w:bCs/>
                <w:sz w:val="24"/>
                <w:szCs w:val="24"/>
              </w:rPr>
              <w:t>（30分）</w:t>
            </w:r>
          </w:p>
        </w:tc>
        <w:tc>
          <w:tcPr>
            <w:tcW w:w="5626" w:type="dxa"/>
            <w:vAlign w:val="center"/>
          </w:tcPr>
          <w:p>
            <w:pPr>
              <w:rPr>
                <w:rFonts w:ascii="仿宋" w:hAnsi="仿宋" w:eastAsia="仿宋" w:cs="仿宋_GB2312"/>
                <w:szCs w:val="21"/>
              </w:rPr>
            </w:pPr>
            <w:r>
              <w:rPr>
                <w:rFonts w:hint="eastAsia" w:ascii="仿宋" w:hAnsi="仿宋" w:eastAsia="仿宋" w:cs="仿宋_GB2312"/>
                <w:szCs w:val="21"/>
              </w:rPr>
              <w:t>针对服务采购需求提供服务方案，包括：</w:t>
            </w:r>
          </w:p>
          <w:p>
            <w:pPr>
              <w:rPr>
                <w:rFonts w:ascii="仿宋" w:hAnsi="仿宋" w:eastAsia="仿宋" w:cs="仿宋_GB2312"/>
                <w:szCs w:val="21"/>
              </w:rPr>
            </w:pPr>
            <w:r>
              <w:rPr>
                <w:rFonts w:hint="eastAsia" w:ascii="仿宋" w:hAnsi="仿宋" w:eastAsia="仿宋" w:cs="仿宋_GB2312"/>
                <w:szCs w:val="21"/>
              </w:rPr>
              <w:t>组织实施北京市各区老人能力筛查及健康评估；为失能老年人开展健康服务；组织培训；失能失智预防干预宣教。以上每项最高得6分，满分共30分。以上每项内容阐述详细且满足实际采购需求，得6分；以上每项内容阐述较详细基本满足实际采购需求，得3分。以上每项内容虽有阐述，但未完全贴合实际需求，或内容欠具体，得1分；未提供相关内容得0分</w:t>
            </w:r>
          </w:p>
        </w:tc>
        <w:tc>
          <w:tcPr>
            <w:tcW w:w="644" w:type="dxa"/>
          </w:tcPr>
          <w:p>
            <w:pPr>
              <w:jc w:val="center"/>
              <w:rPr>
                <w:rFonts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664" w:hRule="atLeast"/>
        </w:trPr>
        <w:tc>
          <w:tcPr>
            <w:tcW w:w="1182" w:type="dxa"/>
            <w:vMerge w:val="continue"/>
          </w:tcPr>
          <w:p>
            <w:pPr>
              <w:pStyle w:val="10"/>
              <w:ind w:left="21" w:leftChars="10" w:firstLine="0" w:firstLineChars="0"/>
              <w:rPr>
                <w:rFonts w:ascii="仿宋" w:hAnsi="仿宋" w:eastAsia="仿宋"/>
                <w:b/>
                <w:bCs/>
                <w:sz w:val="24"/>
                <w:szCs w:val="24"/>
                <w:highlight w:val="none"/>
              </w:rPr>
            </w:pPr>
          </w:p>
        </w:tc>
        <w:tc>
          <w:tcPr>
            <w:tcW w:w="1191" w:type="dxa"/>
            <w:vAlign w:val="center"/>
          </w:tcPr>
          <w:p>
            <w:pPr>
              <w:pStyle w:val="10"/>
              <w:ind w:firstLine="0" w:firstLineChars="0"/>
              <w:jc w:val="center"/>
              <w:rPr>
                <w:rFonts w:ascii="仿宋" w:hAnsi="仿宋" w:eastAsia="仿宋"/>
                <w:b/>
                <w:bCs/>
                <w:sz w:val="24"/>
                <w:szCs w:val="24"/>
                <w:highlight w:val="none"/>
              </w:rPr>
            </w:pPr>
          </w:p>
          <w:p>
            <w:pPr>
              <w:pStyle w:val="10"/>
              <w:ind w:firstLine="0" w:firstLineChars="0"/>
              <w:jc w:val="center"/>
              <w:rPr>
                <w:rFonts w:ascii="仿宋" w:hAnsi="仿宋" w:eastAsia="仿宋"/>
                <w:b/>
                <w:bCs/>
                <w:sz w:val="24"/>
                <w:szCs w:val="24"/>
                <w:highlight w:val="none"/>
              </w:rPr>
            </w:pPr>
            <w:r>
              <w:rPr>
                <w:rFonts w:hint="eastAsia" w:ascii="仿宋" w:hAnsi="仿宋" w:eastAsia="仿宋"/>
                <w:b/>
                <w:bCs/>
                <w:sz w:val="24"/>
                <w:szCs w:val="24"/>
                <w:highlight w:val="none"/>
              </w:rPr>
              <w:t>人员配备（20分）</w:t>
            </w:r>
          </w:p>
        </w:tc>
        <w:tc>
          <w:tcPr>
            <w:tcW w:w="5626" w:type="dxa"/>
            <w:vAlign w:val="center"/>
          </w:tcPr>
          <w:p>
            <w:pPr>
              <w:rPr>
                <w:rFonts w:ascii="仿宋" w:hAnsi="仿宋" w:eastAsia="仿宋" w:cs="仿宋_GB2312"/>
                <w:szCs w:val="21"/>
                <w:highlight w:val="none"/>
              </w:rPr>
            </w:pPr>
            <w:r>
              <w:rPr>
                <w:rFonts w:hint="eastAsia" w:ascii="仿宋" w:hAnsi="仿宋" w:eastAsia="仿宋" w:cs="仿宋_GB2312"/>
                <w:szCs w:val="21"/>
                <w:highlight w:val="none"/>
              </w:rPr>
              <w:t>人员配置优化合理，满足项目需求。团队成员中①投标单位专家服务团队≥20人；②团队人员中≥50%的人员应具备医学、护理学全日制学历和医疗卫生专业技术职称；③团队人员≥10名副高级及以上职称的专家；④项目负责人具备≥10年医疗卫生工作经验。以上每项占5分，满足得5分，不满足得0分。</w:t>
            </w:r>
          </w:p>
        </w:tc>
        <w:tc>
          <w:tcPr>
            <w:tcW w:w="644" w:type="dxa"/>
          </w:tcPr>
          <w:p>
            <w:pPr>
              <w:jc w:val="center"/>
              <w:rPr>
                <w:rFonts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382" w:hRule="atLeast"/>
        </w:trPr>
        <w:tc>
          <w:tcPr>
            <w:tcW w:w="1182" w:type="dxa"/>
            <w:vMerge w:val="continue"/>
          </w:tcPr>
          <w:p>
            <w:pPr>
              <w:pStyle w:val="10"/>
              <w:ind w:left="21" w:leftChars="10" w:firstLine="0" w:firstLineChars="0"/>
              <w:rPr>
                <w:rFonts w:ascii="仿宋" w:hAnsi="仿宋" w:eastAsia="仿宋"/>
                <w:b/>
                <w:bCs/>
                <w:sz w:val="24"/>
                <w:szCs w:val="24"/>
              </w:rPr>
            </w:pPr>
          </w:p>
        </w:tc>
        <w:tc>
          <w:tcPr>
            <w:tcW w:w="1191" w:type="dxa"/>
            <w:vAlign w:val="center"/>
          </w:tcPr>
          <w:p>
            <w:pPr>
              <w:pStyle w:val="10"/>
              <w:ind w:firstLine="0" w:firstLineChars="0"/>
              <w:jc w:val="center"/>
              <w:rPr>
                <w:rFonts w:ascii="仿宋" w:hAnsi="仿宋" w:eastAsia="仿宋"/>
                <w:b/>
                <w:bCs/>
                <w:sz w:val="24"/>
                <w:szCs w:val="24"/>
              </w:rPr>
            </w:pPr>
            <w:r>
              <w:rPr>
                <w:rFonts w:hint="eastAsia" w:ascii="仿宋" w:hAnsi="仿宋" w:eastAsia="仿宋"/>
                <w:b/>
                <w:bCs/>
                <w:sz w:val="24"/>
                <w:szCs w:val="24"/>
              </w:rPr>
              <w:t>质量控制方案</w:t>
            </w:r>
          </w:p>
          <w:p>
            <w:pPr>
              <w:pStyle w:val="10"/>
              <w:ind w:firstLine="0" w:firstLineChars="0"/>
              <w:jc w:val="center"/>
              <w:rPr>
                <w:rFonts w:ascii="仿宋" w:hAnsi="仿宋" w:eastAsia="仿宋"/>
                <w:b/>
                <w:bCs/>
                <w:sz w:val="24"/>
                <w:szCs w:val="24"/>
              </w:rPr>
            </w:pPr>
            <w:r>
              <w:rPr>
                <w:rFonts w:hint="eastAsia" w:ascii="仿宋" w:hAnsi="仿宋" w:eastAsia="仿宋"/>
                <w:b/>
                <w:bCs/>
                <w:sz w:val="24"/>
                <w:szCs w:val="24"/>
              </w:rPr>
              <w:t>（5分）</w:t>
            </w:r>
          </w:p>
        </w:tc>
        <w:tc>
          <w:tcPr>
            <w:tcW w:w="5626" w:type="dxa"/>
            <w:vAlign w:val="center"/>
          </w:tcPr>
          <w:p>
            <w:pPr>
              <w:rPr>
                <w:rFonts w:ascii="仿宋" w:hAnsi="仿宋" w:eastAsia="仿宋" w:cs="仿宋_GB2312"/>
                <w:szCs w:val="21"/>
              </w:rPr>
            </w:pPr>
            <w:r>
              <w:rPr>
                <w:rFonts w:hint="eastAsia" w:ascii="仿宋" w:hAnsi="仿宋" w:eastAsia="仿宋" w:cs="仿宋_GB2312"/>
                <w:szCs w:val="21"/>
              </w:rPr>
              <w:t>质量控制方案内容完整、合理，针对性强得5分；</w:t>
            </w:r>
          </w:p>
          <w:p>
            <w:pPr>
              <w:rPr>
                <w:rFonts w:ascii="仿宋" w:hAnsi="仿宋" w:eastAsia="仿宋" w:cs="仿宋_GB2312"/>
                <w:szCs w:val="21"/>
              </w:rPr>
            </w:pPr>
            <w:r>
              <w:rPr>
                <w:rFonts w:hint="eastAsia" w:ascii="仿宋" w:hAnsi="仿宋" w:eastAsia="仿宋" w:cs="仿宋_GB2312"/>
                <w:szCs w:val="21"/>
              </w:rPr>
              <w:t>质量控制方案内容较完整、合理，针对性较强得3分；</w:t>
            </w:r>
          </w:p>
          <w:p>
            <w:pPr>
              <w:rPr>
                <w:rFonts w:ascii="仿宋" w:hAnsi="仿宋" w:eastAsia="仿宋" w:cs="仿宋_GB2312"/>
                <w:szCs w:val="21"/>
              </w:rPr>
            </w:pPr>
            <w:r>
              <w:rPr>
                <w:rFonts w:hint="eastAsia" w:ascii="仿宋" w:hAnsi="仿宋" w:eastAsia="仿宋" w:cs="仿宋_GB2312"/>
                <w:szCs w:val="21"/>
              </w:rPr>
              <w:t>质量控制方案内容基本完整、合理，有一定的针对性得1分；</w:t>
            </w:r>
          </w:p>
          <w:p>
            <w:pPr>
              <w:rPr>
                <w:rFonts w:ascii="仿宋" w:hAnsi="仿宋" w:eastAsia="仿宋" w:cs="仿宋_GB2312"/>
                <w:szCs w:val="21"/>
              </w:rPr>
            </w:pPr>
            <w:r>
              <w:rPr>
                <w:rFonts w:hint="eastAsia" w:ascii="仿宋" w:hAnsi="仿宋" w:eastAsia="仿宋" w:cs="仿宋_GB2312"/>
                <w:szCs w:val="21"/>
              </w:rPr>
              <w:t>未提供相关内容得0分</w:t>
            </w:r>
          </w:p>
        </w:tc>
        <w:tc>
          <w:tcPr>
            <w:tcW w:w="644" w:type="dxa"/>
          </w:tcPr>
          <w:p>
            <w:pPr>
              <w:jc w:val="center"/>
              <w:rPr>
                <w:rFonts w:ascii="仿宋" w:hAnsi="仿宋" w:eastAsia="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1933" w:hRule="atLeast"/>
        </w:trPr>
        <w:tc>
          <w:tcPr>
            <w:tcW w:w="1182" w:type="dxa"/>
            <w:vMerge w:val="continue"/>
          </w:tcPr>
          <w:p>
            <w:pPr>
              <w:pStyle w:val="10"/>
              <w:ind w:left="21" w:leftChars="10" w:firstLine="0" w:firstLineChars="0"/>
              <w:rPr>
                <w:rFonts w:ascii="仿宋" w:hAnsi="仿宋" w:eastAsia="仿宋"/>
                <w:b/>
                <w:bCs/>
                <w:sz w:val="24"/>
                <w:szCs w:val="24"/>
              </w:rPr>
            </w:pPr>
          </w:p>
        </w:tc>
        <w:tc>
          <w:tcPr>
            <w:tcW w:w="1191" w:type="dxa"/>
            <w:vAlign w:val="center"/>
          </w:tcPr>
          <w:p>
            <w:pPr>
              <w:jc w:val="center"/>
              <w:rPr>
                <w:rFonts w:ascii="仿宋" w:hAnsi="仿宋" w:eastAsia="仿宋"/>
                <w:b/>
                <w:bCs/>
                <w:sz w:val="24"/>
                <w:szCs w:val="24"/>
              </w:rPr>
            </w:pPr>
            <w:r>
              <w:rPr>
                <w:rFonts w:hint="eastAsia" w:ascii="仿宋" w:hAnsi="仿宋" w:eastAsia="仿宋"/>
                <w:b/>
                <w:bCs/>
                <w:sz w:val="24"/>
                <w:szCs w:val="24"/>
              </w:rPr>
              <w:t>服务进度保障措施（5分）</w:t>
            </w:r>
          </w:p>
          <w:p>
            <w:pPr>
              <w:pStyle w:val="10"/>
              <w:ind w:firstLine="482"/>
              <w:rPr>
                <w:rFonts w:ascii="仿宋" w:hAnsi="仿宋" w:eastAsia="仿宋"/>
                <w:b/>
                <w:bCs/>
                <w:sz w:val="24"/>
                <w:szCs w:val="24"/>
              </w:rPr>
            </w:pPr>
          </w:p>
        </w:tc>
        <w:tc>
          <w:tcPr>
            <w:tcW w:w="5626" w:type="dxa"/>
            <w:vAlign w:val="center"/>
          </w:tcPr>
          <w:p>
            <w:pPr>
              <w:rPr>
                <w:rFonts w:ascii="仿宋" w:hAnsi="仿宋" w:eastAsia="仿宋" w:cs="仿宋_GB2312"/>
                <w:szCs w:val="21"/>
              </w:rPr>
            </w:pPr>
            <w:r>
              <w:rPr>
                <w:rFonts w:hint="eastAsia" w:ascii="仿宋" w:hAnsi="仿宋" w:eastAsia="仿宋" w:cs="仿宋_GB2312"/>
                <w:szCs w:val="21"/>
              </w:rPr>
              <w:t>服务进度及保障方案阐述具体、合理，针对性强，完全满足实际采购需求，得5分；服务进度及保障方案阐述较具体、合理，针对性较强，能够满足实际采购需求，得3分；服务进度及保障方案阐述基本合理，有针对性，基本满足实际采购需求，得1分；未提供相关内容得0分。</w:t>
            </w:r>
          </w:p>
        </w:tc>
        <w:tc>
          <w:tcPr>
            <w:tcW w:w="644" w:type="dxa"/>
          </w:tcPr>
          <w:p>
            <w:pPr>
              <w:jc w:val="center"/>
              <w:rPr>
                <w:rFonts w:ascii="仿宋" w:hAnsi="仿宋" w:eastAsia="仿宋"/>
                <w:szCs w:val="21"/>
              </w:rPr>
            </w:pPr>
          </w:p>
        </w:tc>
      </w:tr>
    </w:tbl>
    <w:p>
      <w:pPr>
        <w:rPr>
          <w:rFonts w:ascii="仿宋" w:hAnsi="仿宋" w:eastAsia="仿宋" w:cs="宋体"/>
          <w:szCs w:val="2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true"/>
  <w:bordersDoNotSurroundFooter w:val="true"/>
  <w:trackRevisions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85C"/>
    <w:rsid w:val="00087FDE"/>
    <w:rsid w:val="000A22BF"/>
    <w:rsid w:val="00193EAA"/>
    <w:rsid w:val="002434BF"/>
    <w:rsid w:val="002813AC"/>
    <w:rsid w:val="00296944"/>
    <w:rsid w:val="002D2684"/>
    <w:rsid w:val="00377F67"/>
    <w:rsid w:val="003B2C36"/>
    <w:rsid w:val="003D1C53"/>
    <w:rsid w:val="003E70D5"/>
    <w:rsid w:val="00406813"/>
    <w:rsid w:val="004A4DDA"/>
    <w:rsid w:val="004A7B20"/>
    <w:rsid w:val="004D73E0"/>
    <w:rsid w:val="004F644E"/>
    <w:rsid w:val="00504DC9"/>
    <w:rsid w:val="00515BAC"/>
    <w:rsid w:val="006337E9"/>
    <w:rsid w:val="006975EE"/>
    <w:rsid w:val="006F7B9A"/>
    <w:rsid w:val="0072607C"/>
    <w:rsid w:val="007A7660"/>
    <w:rsid w:val="00883370"/>
    <w:rsid w:val="008A2C42"/>
    <w:rsid w:val="0099485C"/>
    <w:rsid w:val="00B33D64"/>
    <w:rsid w:val="00B927D3"/>
    <w:rsid w:val="00BA4C9E"/>
    <w:rsid w:val="00C93AE2"/>
    <w:rsid w:val="00CA49E3"/>
    <w:rsid w:val="00D875C2"/>
    <w:rsid w:val="00DB1122"/>
    <w:rsid w:val="00FF1677"/>
    <w:rsid w:val="35E8340E"/>
    <w:rsid w:val="3CFD4AB6"/>
    <w:rsid w:val="3DFB4AE3"/>
    <w:rsid w:val="3F957C77"/>
    <w:rsid w:val="498D4F4F"/>
    <w:rsid w:val="4BEF5F9E"/>
    <w:rsid w:val="534A4F32"/>
    <w:rsid w:val="5C6F1DAD"/>
    <w:rsid w:val="5FEF2523"/>
    <w:rsid w:val="7E79C52E"/>
    <w:rsid w:val="7EBF30EA"/>
    <w:rsid w:val="7EF0D426"/>
    <w:rsid w:val="B5FFB7C4"/>
    <w:rsid w:val="D7FFFEB3"/>
    <w:rsid w:val="DF9E8D49"/>
    <w:rsid w:val="DFDE0295"/>
    <w:rsid w:val="EEEF7D56"/>
    <w:rsid w:val="EF777469"/>
    <w:rsid w:val="EFBE5619"/>
    <w:rsid w:val="EFEEB3D5"/>
    <w:rsid w:val="F1FB1D51"/>
    <w:rsid w:val="FBFFE69C"/>
    <w:rsid w:val="FDC78B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adjustRightInd w:val="0"/>
      <w:jc w:val="center"/>
      <w:textAlignment w:val="baseline"/>
      <w:outlineLvl w:val="0"/>
    </w:pPr>
    <w:rPr>
      <w:rFonts w:ascii="宋体" w:hAnsi="宋体"/>
      <w:b/>
      <w:spacing w:val="4"/>
      <w:kern w:val="0"/>
      <w:sz w:val="48"/>
      <w:szCs w:val="28"/>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annotation text"/>
    <w:basedOn w:val="1"/>
    <w:link w:val="18"/>
    <w:unhideWhenUsed/>
    <w:qFormat/>
    <w:uiPriority w:val="99"/>
    <w:pPr>
      <w:jc w:val="left"/>
    </w:pPr>
  </w:style>
  <w:style w:type="paragraph" w:styleId="5">
    <w:name w:val="Body Text Indent"/>
    <w:basedOn w:val="1"/>
    <w:qFormat/>
    <w:uiPriority w:val="0"/>
    <w:pPr>
      <w:ind w:firstLine="560" w:firstLineChars="200"/>
    </w:pPr>
    <w:rPr>
      <w:sz w:val="28"/>
    </w:rPr>
  </w:style>
  <w:style w:type="paragraph" w:styleId="6">
    <w:name w:val="Balloon Text"/>
    <w:basedOn w:val="1"/>
    <w:link w:val="20"/>
    <w:unhideWhenUsed/>
    <w:qFormat/>
    <w:uiPriority w:val="99"/>
    <w:rPr>
      <w:sz w:val="18"/>
      <w:szCs w:val="18"/>
    </w:rPr>
  </w:style>
  <w:style w:type="paragraph" w:styleId="7">
    <w:name w:val="footer"/>
    <w:basedOn w:val="1"/>
    <w:link w:val="16"/>
    <w:unhideWhenUsed/>
    <w:qFormat/>
    <w:uiPriority w:val="99"/>
    <w:pPr>
      <w:tabs>
        <w:tab w:val="center" w:pos="4153"/>
        <w:tab w:val="right" w:pos="8306"/>
      </w:tabs>
      <w:snapToGrid w:val="0"/>
      <w:jc w:val="left"/>
    </w:pPr>
    <w:rPr>
      <w:sz w:val="18"/>
      <w:szCs w:val="18"/>
    </w:rPr>
  </w:style>
  <w:style w:type="paragraph" w:styleId="8">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9"/>
    <w:unhideWhenUsed/>
    <w:qFormat/>
    <w:uiPriority w:val="99"/>
    <w:rPr>
      <w:b/>
      <w:bCs/>
    </w:rPr>
  </w:style>
  <w:style w:type="paragraph" w:styleId="10">
    <w:name w:val="Body Text First Indent 2"/>
    <w:basedOn w:val="5"/>
    <w:next w:val="1"/>
    <w:qFormat/>
    <w:uiPriority w:val="0"/>
    <w:pPr>
      <w:ind w:firstLine="420"/>
    </w:pPr>
  </w:style>
  <w:style w:type="character" w:styleId="13">
    <w:name w:val="annotation reference"/>
    <w:basedOn w:val="12"/>
    <w:unhideWhenUsed/>
    <w:qFormat/>
    <w:uiPriority w:val="99"/>
    <w:rPr>
      <w:sz w:val="21"/>
      <w:szCs w:val="21"/>
    </w:rPr>
  </w:style>
  <w:style w:type="paragraph" w:customStyle="1" w:styleId="14">
    <w:name w:val="列表段落1"/>
    <w:basedOn w:val="1"/>
    <w:link w:val="17"/>
    <w:qFormat/>
    <w:uiPriority w:val="34"/>
    <w:pPr>
      <w:ind w:firstLine="420" w:firstLineChars="200"/>
    </w:pPr>
  </w:style>
  <w:style w:type="character" w:customStyle="1" w:styleId="15">
    <w:name w:val="页眉 字符"/>
    <w:basedOn w:val="12"/>
    <w:link w:val="8"/>
    <w:qFormat/>
    <w:uiPriority w:val="99"/>
    <w:rPr>
      <w:sz w:val="18"/>
      <w:szCs w:val="18"/>
    </w:rPr>
  </w:style>
  <w:style w:type="character" w:customStyle="1" w:styleId="16">
    <w:name w:val="页脚 字符"/>
    <w:basedOn w:val="12"/>
    <w:link w:val="7"/>
    <w:qFormat/>
    <w:uiPriority w:val="99"/>
    <w:rPr>
      <w:sz w:val="18"/>
      <w:szCs w:val="18"/>
    </w:rPr>
  </w:style>
  <w:style w:type="character" w:customStyle="1" w:styleId="17">
    <w:name w:val="列出段落 Char"/>
    <w:link w:val="14"/>
    <w:qFormat/>
    <w:uiPriority w:val="34"/>
    <w:rPr>
      <w:rFonts w:ascii="Calibri" w:hAnsi="Calibri"/>
    </w:rPr>
  </w:style>
  <w:style w:type="character" w:customStyle="1" w:styleId="18">
    <w:name w:val="批注文字 字符"/>
    <w:basedOn w:val="12"/>
    <w:link w:val="4"/>
    <w:semiHidden/>
    <w:qFormat/>
    <w:uiPriority w:val="99"/>
  </w:style>
  <w:style w:type="character" w:customStyle="1" w:styleId="19">
    <w:name w:val="批注主题 字符"/>
    <w:basedOn w:val="18"/>
    <w:link w:val="9"/>
    <w:semiHidden/>
    <w:qFormat/>
    <w:uiPriority w:val="99"/>
    <w:rPr>
      <w:b/>
      <w:bCs/>
    </w:rPr>
  </w:style>
  <w:style w:type="character" w:customStyle="1" w:styleId="20">
    <w:name w:val="批注框文本 字符"/>
    <w:basedOn w:val="12"/>
    <w:link w:val="6"/>
    <w:semiHidden/>
    <w:qFormat/>
    <w:uiPriority w:val="99"/>
    <w:rPr>
      <w:sz w:val="18"/>
      <w:szCs w:val="18"/>
    </w:rPr>
  </w:style>
  <w:style w:type="character" w:customStyle="1" w:styleId="21">
    <w:name w:val="font31"/>
    <w:basedOn w:val="12"/>
    <w:qFormat/>
    <w:uiPriority w:val="0"/>
    <w:rPr>
      <w:rFonts w:hint="eastAsia" w:ascii="宋体" w:hAnsi="宋体" w:eastAsia="宋体" w:cs="宋体"/>
      <w:color w:val="000000"/>
      <w:sz w:val="18"/>
      <w:szCs w:val="18"/>
      <w:u w:val="none"/>
    </w:rPr>
  </w:style>
  <w:style w:type="paragraph" w:customStyle="1" w:styleId="22">
    <w:name w:val="图例"/>
    <w:basedOn w:val="1"/>
    <w:qFormat/>
    <w:uiPriority w:val="0"/>
    <w:pPr>
      <w:spacing w:before="120" w:after="120" w:line="360" w:lineRule="auto"/>
      <w:jc w:val="center"/>
    </w:pPr>
    <w:rPr>
      <w:rFonts w:eastAsia="仿宋_GB2312"/>
      <w:b/>
      <w:sz w:val="24"/>
      <w:szCs w:val="20"/>
    </w:rPr>
  </w:style>
  <w:style w:type="paragraph" w:customStyle="1" w:styleId="23">
    <w:name w:val="列表段落2"/>
    <w:basedOn w:val="1"/>
    <w:qFormat/>
    <w:uiPriority w:val="34"/>
    <w:pPr>
      <w:ind w:firstLine="420" w:firstLineChars="200"/>
    </w:pPr>
  </w:style>
  <w:style w:type="paragraph" w:customStyle="1" w:styleId="24">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271</Words>
  <Characters>1545</Characters>
  <Lines>12</Lines>
  <Paragraphs>3</Paragraphs>
  <TotalTime>9</TotalTime>
  <ScaleCrop>false</ScaleCrop>
  <LinksUpToDate>false</LinksUpToDate>
  <CharactersWithSpaces>1813</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2022-04-24T04:00:00Z</dcterms:created>
  <dc:creator>强文晓</dc:creator>
  <cp:lastModifiedBy>admin</cp:lastModifiedBy>
  <cp:lastPrinted>2025-04-15T14:56:16Z</cp:lastPrinted>
  <dcterms:modified xsi:type="dcterms:W3CDTF">2025-04-15T14:56:53Z</dcterms:modified>
  <dc:title>申请人须知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y fmtid="{D5CDD505-2E9C-101B-9397-08002B2CF9AE}" pid="3" name="KSOTemplateDocerSaveRecord">
    <vt:lpwstr>eyJoZGlkIjoiMWRmNjFmYzEzYzhmMWVhMmIwZmM1OWViN2MwODc5MDAiLCJ1c2VySWQiOiIxNTkzNzU5MTIyIn0=</vt:lpwstr>
  </property>
  <property fmtid="{D5CDD505-2E9C-101B-9397-08002B2CF9AE}" pid="4" name="ICV">
    <vt:lpwstr>0B965431172245428E6E4F824BE0409A_13</vt:lpwstr>
  </property>
</Properties>
</file>