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宋体"/>
          <w:b/>
          <w:bCs/>
          <w:sz w:val="32"/>
          <w:szCs w:val="28"/>
        </w:rPr>
      </w:pPr>
      <w:r>
        <w:rPr>
          <w:rFonts w:ascii="仿宋" w:hAnsi="仿宋" w:eastAsia="仿宋" w:cs="宋体"/>
          <w:b/>
          <w:bCs/>
          <w:sz w:val="32"/>
          <w:szCs w:val="28"/>
        </w:rPr>
        <w:t>申请人须知</w:t>
      </w:r>
    </w:p>
    <w:p>
      <w:pPr>
        <w:spacing w:line="360" w:lineRule="auto"/>
        <w:rPr>
          <w:rFonts w:ascii="仿宋" w:hAnsi="仿宋" w:eastAsia="仿宋" w:cs="宋体"/>
          <w:bCs/>
          <w:sz w:val="28"/>
          <w:szCs w:val="28"/>
        </w:rPr>
      </w:pPr>
      <w:r>
        <w:rPr>
          <w:rFonts w:hint="eastAsia" w:ascii="仿宋" w:hAnsi="仿宋" w:eastAsia="仿宋" w:cs="宋体"/>
          <w:bCs/>
          <w:sz w:val="28"/>
          <w:szCs w:val="28"/>
        </w:rPr>
        <w:t>1、合格供应商的条件：</w:t>
      </w:r>
    </w:p>
    <w:p>
      <w:pPr>
        <w:tabs>
          <w:tab w:val="left" w:pos="709"/>
        </w:tabs>
        <w:spacing w:line="360" w:lineRule="auto"/>
        <w:ind w:firstLine="560" w:firstLineChars="200"/>
        <w:rPr>
          <w:rFonts w:ascii="仿宋" w:hAnsi="仿宋" w:eastAsia="仿宋" w:cs="宋体"/>
          <w:bCs/>
          <w:sz w:val="28"/>
          <w:szCs w:val="28"/>
        </w:rPr>
      </w:pPr>
      <w:r>
        <w:rPr>
          <w:rFonts w:hint="eastAsia" w:ascii="仿宋" w:hAnsi="仿宋" w:eastAsia="仿宋" w:cs="宋体"/>
          <w:bCs/>
          <w:sz w:val="28"/>
          <w:szCs w:val="28"/>
        </w:rPr>
        <w:t>1）在中华人民共和国境内注册，具有本项目实施能力，符合、承认并承诺履行本遴选文件各项规定的供应商。</w:t>
      </w:r>
    </w:p>
    <w:p>
      <w:pPr>
        <w:tabs>
          <w:tab w:val="left" w:pos="709"/>
        </w:tabs>
        <w:spacing w:line="360" w:lineRule="auto"/>
        <w:ind w:firstLine="560" w:firstLineChars="200"/>
        <w:rPr>
          <w:rFonts w:ascii="仿宋" w:hAnsi="仿宋" w:eastAsia="仿宋" w:cs="宋体"/>
          <w:bCs/>
          <w:sz w:val="28"/>
          <w:szCs w:val="28"/>
        </w:rPr>
      </w:pPr>
      <w:r>
        <w:rPr>
          <w:rFonts w:ascii="仿宋" w:hAnsi="仿宋" w:eastAsia="仿宋" w:cs="宋体"/>
          <w:bCs/>
          <w:sz w:val="28"/>
          <w:szCs w:val="28"/>
        </w:rPr>
        <w:t>2</w:t>
      </w:r>
      <w:r>
        <w:rPr>
          <w:rFonts w:hint="eastAsia" w:ascii="仿宋" w:hAnsi="仿宋" w:eastAsia="仿宋" w:cs="宋体"/>
          <w:bCs/>
          <w:sz w:val="28"/>
          <w:szCs w:val="28"/>
        </w:rPr>
        <w:t>）供应商应遵守中华人民共和国有关的国家法律、法规和条例。</w:t>
      </w:r>
    </w:p>
    <w:p>
      <w:pPr>
        <w:tabs>
          <w:tab w:val="left" w:pos="709"/>
        </w:tabs>
        <w:spacing w:line="360" w:lineRule="auto"/>
        <w:ind w:firstLine="560" w:firstLineChars="200"/>
        <w:rPr>
          <w:rFonts w:ascii="仿宋" w:hAnsi="仿宋" w:eastAsia="仿宋" w:cs="宋体"/>
          <w:bCs/>
          <w:sz w:val="28"/>
          <w:szCs w:val="28"/>
        </w:rPr>
      </w:pPr>
      <w:r>
        <w:rPr>
          <w:rFonts w:ascii="仿宋" w:hAnsi="仿宋" w:eastAsia="仿宋" w:cs="宋体"/>
          <w:bCs/>
          <w:sz w:val="28"/>
          <w:szCs w:val="28"/>
        </w:rPr>
        <w:t>3</w:t>
      </w:r>
      <w:r>
        <w:rPr>
          <w:rFonts w:hint="eastAsia" w:ascii="仿宋" w:hAnsi="仿宋" w:eastAsia="仿宋" w:cs="宋体"/>
          <w:bCs/>
          <w:sz w:val="28"/>
          <w:szCs w:val="28"/>
        </w:rPr>
        <w:t>）单位负责人为同一人或者报价存在直接控股、管理关系的不同供应商，不得同时参加本项目遴选。违反规定的，相关报价均无效。</w:t>
      </w:r>
    </w:p>
    <w:p>
      <w:pPr>
        <w:tabs>
          <w:tab w:val="left" w:pos="709"/>
        </w:tabs>
        <w:spacing w:line="360" w:lineRule="auto"/>
        <w:ind w:firstLine="560" w:firstLineChars="200"/>
        <w:rPr>
          <w:rFonts w:ascii="仿宋" w:hAnsi="仿宋" w:eastAsia="仿宋" w:cs="宋体"/>
          <w:bCs/>
          <w:sz w:val="28"/>
          <w:szCs w:val="28"/>
        </w:rPr>
      </w:pPr>
      <w:r>
        <w:rPr>
          <w:rFonts w:hint="eastAsia" w:ascii="仿宋" w:hAnsi="仿宋" w:eastAsia="仿宋" w:cs="宋体"/>
          <w:bCs/>
          <w:sz w:val="28"/>
          <w:szCs w:val="28"/>
        </w:rPr>
        <w:t>4）供应商不得被列入相关部门规定的失信被执行人、重大税收违法案件当事人名单、政府采购严重违法失信行为记录名单。</w:t>
      </w:r>
    </w:p>
    <w:p>
      <w:pPr>
        <w:spacing w:line="360" w:lineRule="auto"/>
        <w:rPr>
          <w:rFonts w:ascii="仿宋" w:hAnsi="仿宋" w:eastAsia="仿宋" w:cs="宋体"/>
          <w:bCs/>
          <w:sz w:val="28"/>
          <w:szCs w:val="28"/>
        </w:rPr>
      </w:pPr>
      <w:r>
        <w:rPr>
          <w:rFonts w:hint="eastAsia" w:ascii="仿宋" w:hAnsi="仿宋" w:eastAsia="仿宋" w:cs="宋体"/>
          <w:bCs/>
          <w:sz w:val="28"/>
          <w:szCs w:val="28"/>
        </w:rPr>
        <w:t>2、遴选响应文件签署和盖章要求：遴选响应文件需打印或用不退色墨水书写，由申请人的法定代表人或其授权代表在遴选文件规定的地方签字，并进行逐页盖章或加盖骑缝章。</w:t>
      </w:r>
    </w:p>
    <w:p>
      <w:pPr>
        <w:spacing w:line="360" w:lineRule="auto"/>
        <w:rPr>
          <w:rFonts w:ascii="仿宋" w:hAnsi="仿宋" w:eastAsia="仿宋" w:cs="宋体"/>
          <w:b/>
          <w:bCs/>
          <w:sz w:val="28"/>
          <w:szCs w:val="28"/>
        </w:rPr>
      </w:pPr>
      <w:r>
        <w:rPr>
          <w:rFonts w:hint="eastAsia" w:ascii="仿宋" w:hAnsi="仿宋" w:eastAsia="仿宋" w:cs="宋体"/>
          <w:bCs/>
          <w:sz w:val="28"/>
          <w:szCs w:val="28"/>
        </w:rPr>
        <w:t>3、遴选小组对申请人的遴选响应文件进行商务审查，以确定其是否满足遴选文件的实质性要求，并形成商务审查结果。申请人有任何一项不符合《商务审查表》要求的，</w:t>
      </w:r>
      <w:r>
        <w:rPr>
          <w:rFonts w:hint="eastAsia" w:ascii="仿宋" w:hAnsi="仿宋" w:eastAsia="仿宋" w:cs="宋体"/>
          <w:b/>
          <w:bCs/>
          <w:sz w:val="28"/>
          <w:szCs w:val="28"/>
        </w:rPr>
        <w:t>遴选响应无效。</w:t>
      </w:r>
    </w:p>
    <w:p>
      <w:pPr>
        <w:spacing w:line="360" w:lineRule="auto"/>
        <w:jc w:val="center"/>
        <w:rPr>
          <w:rFonts w:ascii="仿宋" w:hAnsi="仿宋" w:eastAsia="仿宋" w:cs="宋体"/>
          <w:bCs/>
          <w:sz w:val="28"/>
          <w:szCs w:val="28"/>
        </w:rPr>
      </w:pPr>
      <w:r>
        <w:rPr>
          <w:rFonts w:hint="eastAsia" w:ascii="仿宋" w:hAnsi="仿宋" w:eastAsia="仿宋" w:cs="宋体"/>
          <w:bCs/>
          <w:sz w:val="28"/>
          <w:szCs w:val="28"/>
        </w:rPr>
        <w:t>商务审查表</w:t>
      </w:r>
    </w:p>
    <w:tbl>
      <w:tblPr>
        <w:tblStyle w:val="10"/>
        <w:tblW w:w="8528" w:type="dxa"/>
        <w:tblInd w:w="0" w:type="dxa"/>
        <w:tblLayout w:type="fixed"/>
        <w:tblCellMar>
          <w:top w:w="0" w:type="dxa"/>
          <w:left w:w="108" w:type="dxa"/>
          <w:bottom w:w="0" w:type="dxa"/>
          <w:right w:w="108" w:type="dxa"/>
        </w:tblCellMar>
      </w:tblPr>
      <w:tblGrid>
        <w:gridCol w:w="1102"/>
        <w:gridCol w:w="4042"/>
        <w:gridCol w:w="3384"/>
      </w:tblGrid>
      <w:tr>
        <w:tblPrEx>
          <w:tblCellMar>
            <w:top w:w="0" w:type="dxa"/>
            <w:left w:w="108" w:type="dxa"/>
            <w:bottom w:w="0" w:type="dxa"/>
            <w:right w:w="108" w:type="dxa"/>
          </w:tblCellMar>
        </w:tblPrEx>
        <w:trPr>
          <w:trHeight w:val="567" w:hRule="atLeast"/>
        </w:trPr>
        <w:tc>
          <w:tcPr>
            <w:tcW w:w="110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序号</w:t>
            </w:r>
          </w:p>
        </w:tc>
        <w:tc>
          <w:tcPr>
            <w:tcW w:w="7426"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kern w:val="0"/>
                <w:sz w:val="20"/>
                <w:szCs w:val="20"/>
              </w:rPr>
            </w:pPr>
            <w:r>
              <w:rPr>
                <w:rFonts w:hint="eastAsia" w:ascii="仿宋" w:hAnsi="仿宋" w:eastAsia="仿宋" w:cs="宋体"/>
                <w:kern w:val="0"/>
                <w:sz w:val="28"/>
                <w:szCs w:val="28"/>
              </w:rPr>
              <w:t>审查内容</w:t>
            </w:r>
          </w:p>
        </w:tc>
      </w:tr>
      <w:tr>
        <w:tblPrEx>
          <w:tblCellMar>
            <w:top w:w="0" w:type="dxa"/>
            <w:left w:w="108" w:type="dxa"/>
            <w:bottom w:w="0" w:type="dxa"/>
            <w:right w:w="108" w:type="dxa"/>
          </w:tblCellMar>
        </w:tblPrEx>
        <w:trPr>
          <w:trHeight w:val="567" w:hRule="atLeast"/>
        </w:trPr>
        <w:tc>
          <w:tcPr>
            <w:tcW w:w="1102"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1</w:t>
            </w:r>
          </w:p>
        </w:tc>
        <w:tc>
          <w:tcPr>
            <w:tcW w:w="7426" w:type="dxa"/>
            <w:gridSpan w:val="2"/>
            <w:tcBorders>
              <w:top w:val="nil"/>
              <w:left w:val="single" w:color="000000" w:sz="4" w:space="0"/>
              <w:bottom w:val="single" w:color="000000" w:sz="4" w:space="0"/>
              <w:right w:val="single" w:color="auto" w:sz="4" w:space="0"/>
            </w:tcBorders>
            <w:vAlign w:val="center"/>
          </w:tcPr>
          <w:p>
            <w:pPr>
              <w:widowControl/>
              <w:jc w:val="left"/>
              <w:rPr>
                <w:rFonts w:ascii="仿宋" w:hAnsi="仿宋" w:eastAsia="仿宋" w:cs="宋体"/>
                <w:kern w:val="0"/>
                <w:sz w:val="28"/>
                <w:szCs w:val="28"/>
              </w:rPr>
            </w:pPr>
            <w:r>
              <w:rPr>
                <w:rFonts w:hint="eastAsia" w:ascii="仿宋" w:hAnsi="仿宋" w:eastAsia="仿宋" w:cs="宋体"/>
                <w:kern w:val="0"/>
                <w:sz w:val="28"/>
                <w:szCs w:val="28"/>
              </w:rPr>
              <w:t>遴选报价是否超过遴选文件规定预算金额</w:t>
            </w:r>
          </w:p>
        </w:tc>
      </w:tr>
      <w:tr>
        <w:tblPrEx>
          <w:tblCellMar>
            <w:top w:w="0" w:type="dxa"/>
            <w:left w:w="108" w:type="dxa"/>
            <w:bottom w:w="0" w:type="dxa"/>
            <w:right w:w="108" w:type="dxa"/>
          </w:tblCellMar>
        </w:tblPrEx>
        <w:trPr>
          <w:trHeight w:val="567" w:hRule="atLeast"/>
        </w:trPr>
        <w:tc>
          <w:tcPr>
            <w:tcW w:w="1102"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2</w:t>
            </w:r>
          </w:p>
        </w:tc>
        <w:tc>
          <w:tcPr>
            <w:tcW w:w="7426" w:type="dxa"/>
            <w:gridSpan w:val="2"/>
            <w:tcBorders>
              <w:top w:val="nil"/>
              <w:left w:val="single" w:color="000000" w:sz="4" w:space="0"/>
              <w:bottom w:val="single" w:color="000000" w:sz="4" w:space="0"/>
              <w:right w:val="single" w:color="auto" w:sz="4" w:space="0"/>
            </w:tcBorders>
            <w:vAlign w:val="center"/>
          </w:tcPr>
          <w:p>
            <w:pPr>
              <w:widowControl/>
              <w:jc w:val="left"/>
              <w:rPr>
                <w:rFonts w:ascii="仿宋" w:hAnsi="仿宋" w:eastAsia="仿宋" w:cs="宋体"/>
                <w:kern w:val="0"/>
                <w:sz w:val="28"/>
                <w:szCs w:val="28"/>
              </w:rPr>
            </w:pPr>
            <w:r>
              <w:rPr>
                <w:rFonts w:hint="eastAsia" w:ascii="仿宋" w:hAnsi="仿宋" w:eastAsia="仿宋" w:cs="宋体"/>
                <w:kern w:val="0"/>
                <w:sz w:val="28"/>
                <w:szCs w:val="28"/>
              </w:rPr>
              <w:t>遴选文件的签署、盖章是否合格</w:t>
            </w:r>
          </w:p>
        </w:tc>
      </w:tr>
      <w:tr>
        <w:tblPrEx>
          <w:tblCellMar>
            <w:top w:w="0" w:type="dxa"/>
            <w:left w:w="108" w:type="dxa"/>
            <w:bottom w:w="0" w:type="dxa"/>
            <w:right w:w="108" w:type="dxa"/>
          </w:tblCellMar>
        </w:tblPrEx>
        <w:trPr>
          <w:trHeight w:val="567" w:hRule="atLeast"/>
        </w:trPr>
        <w:tc>
          <w:tcPr>
            <w:tcW w:w="1102"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3</w:t>
            </w:r>
          </w:p>
        </w:tc>
        <w:tc>
          <w:tcPr>
            <w:tcW w:w="7426" w:type="dxa"/>
            <w:gridSpan w:val="2"/>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8"/>
                <w:szCs w:val="28"/>
              </w:rPr>
            </w:pPr>
            <w:r>
              <w:rPr>
                <w:rFonts w:hint="eastAsia" w:ascii="仿宋" w:hAnsi="仿宋" w:eastAsia="仿宋" w:cs="宋体"/>
                <w:kern w:val="0"/>
                <w:sz w:val="28"/>
                <w:szCs w:val="28"/>
              </w:rPr>
              <w:t>是否提供满足遴选文件中要求的申请人资格要求的承诺函</w:t>
            </w:r>
          </w:p>
        </w:tc>
      </w:tr>
      <w:tr>
        <w:tblPrEx>
          <w:tblCellMar>
            <w:top w:w="0" w:type="dxa"/>
            <w:left w:w="108" w:type="dxa"/>
            <w:bottom w:w="0" w:type="dxa"/>
            <w:right w:w="108" w:type="dxa"/>
          </w:tblCellMar>
        </w:tblPrEx>
        <w:trPr>
          <w:trHeight w:val="567" w:hRule="atLeast"/>
        </w:trPr>
        <w:tc>
          <w:tcPr>
            <w:tcW w:w="1102"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4</w:t>
            </w:r>
          </w:p>
        </w:tc>
        <w:tc>
          <w:tcPr>
            <w:tcW w:w="7426" w:type="dxa"/>
            <w:gridSpan w:val="2"/>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8"/>
                <w:szCs w:val="28"/>
              </w:rPr>
            </w:pPr>
            <w:r>
              <w:rPr>
                <w:rFonts w:hint="eastAsia" w:ascii="仿宋" w:hAnsi="仿宋" w:eastAsia="仿宋" w:cs="宋体"/>
                <w:kern w:val="0"/>
                <w:sz w:val="28"/>
                <w:szCs w:val="28"/>
              </w:rPr>
              <w:t>是否为独立法人</w:t>
            </w:r>
          </w:p>
        </w:tc>
      </w:tr>
      <w:tr>
        <w:tblPrEx>
          <w:tblCellMar>
            <w:top w:w="0" w:type="dxa"/>
            <w:left w:w="108" w:type="dxa"/>
            <w:bottom w:w="0" w:type="dxa"/>
            <w:right w:w="108" w:type="dxa"/>
          </w:tblCellMar>
        </w:tblPrEx>
        <w:trPr>
          <w:trHeight w:val="567" w:hRule="atLeast"/>
        </w:trPr>
        <w:tc>
          <w:tcPr>
            <w:tcW w:w="5144" w:type="dxa"/>
            <w:gridSpan w:val="2"/>
            <w:tcBorders>
              <w:top w:val="single" w:color="auto" w:sz="4" w:space="0"/>
              <w:left w:val="single" w:color="auto" w:sz="4" w:space="0"/>
              <w:bottom w:val="single" w:color="auto" w:sz="4" w:space="0"/>
              <w:right w:val="nil"/>
            </w:tcBorders>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结论</w:t>
            </w:r>
          </w:p>
        </w:tc>
        <w:tc>
          <w:tcPr>
            <w:tcW w:w="3384"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8"/>
                <w:szCs w:val="28"/>
              </w:rPr>
            </w:pPr>
            <w:r>
              <w:rPr>
                <w:rFonts w:hint="eastAsia" w:ascii="仿宋" w:hAnsi="仿宋" w:eastAsia="仿宋" w:cs="宋体"/>
                <w:kern w:val="0"/>
                <w:sz w:val="28"/>
                <w:szCs w:val="28"/>
              </w:rPr>
              <w:t>合格/不合格</w:t>
            </w:r>
          </w:p>
        </w:tc>
      </w:tr>
    </w:tbl>
    <w:p>
      <w:pPr>
        <w:spacing w:line="360" w:lineRule="auto"/>
        <w:rPr>
          <w:rFonts w:ascii="仿宋" w:hAnsi="仿宋" w:eastAsia="仿宋" w:cs="宋体"/>
          <w:bCs/>
          <w:sz w:val="28"/>
          <w:szCs w:val="28"/>
        </w:rPr>
      </w:pPr>
      <w:r>
        <w:rPr>
          <w:rFonts w:hint="eastAsia" w:ascii="仿宋" w:hAnsi="仿宋" w:eastAsia="仿宋" w:cs="宋体"/>
          <w:bCs/>
          <w:sz w:val="28"/>
          <w:szCs w:val="28"/>
        </w:rPr>
        <w:t>4、遴选响应文件有关事项的澄清或者说明：评审过程中，遴选小组会将以书面形式要求申请人对其遴选响应文件中含义不明确、同类问题表述不一致或者有明显文字和计算错误的内容，作出必要的澄清、说明或者补正。申请人的澄清、说明或者补正应当采用书面形式，并加盖公章，或者由法定代表人或其授权的代表签字。申请人的澄清、说明或者补正不得超出遴选文件的范围或者改变遴选文件的实质性内容。澄清文件将作为遴选文件内容的一部分。</w:t>
      </w:r>
    </w:p>
    <w:p>
      <w:pPr>
        <w:spacing w:line="360" w:lineRule="auto"/>
        <w:rPr>
          <w:rFonts w:ascii="仿宋" w:hAnsi="仿宋" w:eastAsia="仿宋" w:cs="宋体"/>
          <w:bCs/>
          <w:sz w:val="28"/>
          <w:szCs w:val="28"/>
        </w:rPr>
      </w:pPr>
      <w:r>
        <w:rPr>
          <w:rFonts w:hint="eastAsia" w:ascii="仿宋" w:hAnsi="仿宋" w:eastAsia="仿宋" w:cs="宋体"/>
          <w:bCs/>
          <w:sz w:val="28"/>
          <w:szCs w:val="28"/>
        </w:rPr>
        <w:t>5、本项目采用的评标方法为综合评分法。采用综合评分法时，评审结果按评审后得分由高到低顺序排列。得分相同的，按遴选响应报价由低到高顺序排列。得分且遴选响应报价相同的并列。遴选响应文件满足遴选文件全部实质性要求，且按照评审因素的量化指标评审得分最高的申请人为排名第一的成交候选人。</w:t>
      </w:r>
      <w:r>
        <w:rPr>
          <w:rFonts w:hint="eastAsia" w:ascii="仿宋" w:hAnsi="仿宋" w:eastAsia="仿宋" w:cs="宋体"/>
          <w:b/>
          <w:bCs/>
          <w:sz w:val="28"/>
          <w:szCs w:val="28"/>
        </w:rPr>
        <w:t>由各业务处室最终决定成交申请人。</w:t>
      </w:r>
      <w:r>
        <w:rPr>
          <w:rFonts w:hint="eastAsia" w:ascii="仿宋" w:hAnsi="仿宋" w:eastAsia="仿宋" w:cs="宋体"/>
          <w:bCs/>
          <w:sz w:val="28"/>
          <w:szCs w:val="28"/>
        </w:rPr>
        <w:t>评分分值计算保留小数点后两位，第三位四舍五入。</w:t>
      </w:r>
    </w:p>
    <w:p>
      <w:pPr>
        <w:spacing w:line="360" w:lineRule="auto"/>
        <w:jc w:val="left"/>
        <w:rPr>
          <w:rFonts w:ascii="仿宋" w:hAnsi="仿宋" w:eastAsia="仿宋" w:cs="宋体"/>
          <w:bCs/>
          <w:sz w:val="28"/>
          <w:szCs w:val="28"/>
        </w:rPr>
      </w:pPr>
      <w:r>
        <w:rPr>
          <w:rFonts w:hint="eastAsia" w:ascii="仿宋" w:hAnsi="仿宋" w:eastAsia="仿宋" w:cs="宋体"/>
          <w:bCs/>
          <w:sz w:val="28"/>
          <w:szCs w:val="28"/>
        </w:rPr>
        <w:t>6、如对本项目进行实质性响应的供应商不足2家但大于等于1家时，项目主办处室决定是否继续进行采购活动或延期遴选文件获取时间及递交申请文件时间。如继续进行采购活动，如评审小组按照遴选文件对供应商的申请文件综合打分不足60分时，项目主办处室可以选择本项目废标。</w:t>
      </w:r>
    </w:p>
    <w:p>
      <w:pPr>
        <w:spacing w:line="360" w:lineRule="auto"/>
        <w:rPr>
          <w:rFonts w:ascii="仿宋" w:hAnsi="仿宋" w:eastAsia="仿宋" w:cs="宋体"/>
          <w:bCs/>
          <w:sz w:val="28"/>
          <w:szCs w:val="28"/>
        </w:rPr>
      </w:pPr>
      <w:r>
        <w:rPr>
          <w:rFonts w:hint="eastAsia" w:ascii="仿宋" w:hAnsi="仿宋" w:eastAsia="仿宋" w:cs="宋体"/>
          <w:bCs/>
          <w:sz w:val="28"/>
          <w:szCs w:val="28"/>
        </w:rPr>
        <w:t>7、成交供应商拒绝与采购人签订合同的，采购人可以按照评审报告推荐的成交候选人名单排序，确定下一候选人为成交供应商，也可以重新开展采购活动。</w:t>
      </w:r>
    </w:p>
    <w:p>
      <w:pPr>
        <w:rPr>
          <w:rFonts w:ascii="仿宋" w:hAnsi="仿宋" w:eastAsia="仿宋" w:cs="宋体"/>
          <w:b/>
          <w:bCs/>
          <w:sz w:val="32"/>
          <w:szCs w:val="28"/>
        </w:rPr>
        <w:sectPr>
          <w:pgSz w:w="11906" w:h="16838"/>
          <w:pgMar w:top="1440" w:right="1797" w:bottom="1440" w:left="1797" w:header="851" w:footer="992" w:gutter="0"/>
          <w:cols w:space="720" w:num="1"/>
          <w:docGrid w:type="lines" w:linePitch="312" w:charSpace="0"/>
        </w:sectPr>
      </w:pPr>
    </w:p>
    <w:p>
      <w:pPr>
        <w:keepNext/>
        <w:widowControl/>
        <w:adjustRightInd w:val="0"/>
        <w:snapToGrid w:val="0"/>
        <w:spacing w:line="360" w:lineRule="auto"/>
        <w:jc w:val="center"/>
        <w:rPr>
          <w:rFonts w:ascii="仿宋" w:hAnsi="仿宋" w:eastAsia="仿宋" w:cs="宋体"/>
          <w:b/>
          <w:bCs/>
          <w:sz w:val="32"/>
          <w:szCs w:val="28"/>
        </w:rPr>
      </w:pPr>
      <w:r>
        <w:rPr>
          <w:rFonts w:ascii="仿宋" w:hAnsi="仿宋" w:eastAsia="仿宋" w:cs="宋体"/>
          <w:b/>
          <w:bCs/>
          <w:sz w:val="32"/>
          <w:szCs w:val="28"/>
        </w:rPr>
        <w:t>评分标准</w:t>
      </w:r>
    </w:p>
    <w:tbl>
      <w:tblPr>
        <w:tblStyle w:val="10"/>
        <w:tblpPr w:leftFromText="180" w:rightFromText="180" w:vertAnchor="page" w:horzAnchor="page" w:tblpX="1878" w:tblpY="23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1117"/>
        <w:gridCol w:w="1729"/>
        <w:gridCol w:w="4326"/>
        <w:gridCol w:w="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序号</w:t>
            </w:r>
          </w:p>
        </w:tc>
        <w:tc>
          <w:tcPr>
            <w:tcW w:w="0" w:type="auto"/>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内</w:t>
            </w:r>
          </w:p>
          <w:p>
            <w:pPr>
              <w:widowControl/>
              <w:jc w:val="center"/>
              <w:rPr>
                <w:rFonts w:ascii="仿宋" w:hAnsi="仿宋" w:eastAsia="仿宋" w:cs="仿宋"/>
                <w:kern w:val="0"/>
                <w:sz w:val="24"/>
                <w:szCs w:val="24"/>
              </w:rPr>
            </w:pPr>
            <w:r>
              <w:rPr>
                <w:rFonts w:hint="eastAsia" w:ascii="仿宋" w:hAnsi="仿宋" w:eastAsia="仿宋" w:cs="仿宋"/>
                <w:kern w:val="0"/>
                <w:sz w:val="24"/>
                <w:szCs w:val="24"/>
              </w:rPr>
              <w:t>容</w:t>
            </w: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评分</w:t>
            </w:r>
          </w:p>
          <w:p>
            <w:pPr>
              <w:widowControl/>
              <w:jc w:val="center"/>
              <w:rPr>
                <w:rFonts w:ascii="仿宋" w:hAnsi="仿宋" w:eastAsia="仿宋" w:cs="仿宋"/>
                <w:kern w:val="0"/>
                <w:sz w:val="24"/>
                <w:szCs w:val="24"/>
              </w:rPr>
            </w:pPr>
            <w:r>
              <w:rPr>
                <w:rFonts w:hint="eastAsia" w:ascii="仿宋" w:hAnsi="仿宋" w:eastAsia="仿宋" w:cs="仿宋"/>
                <w:kern w:val="0"/>
                <w:sz w:val="24"/>
                <w:szCs w:val="24"/>
              </w:rPr>
              <w:t>项目</w:t>
            </w:r>
          </w:p>
        </w:tc>
        <w:tc>
          <w:tcPr>
            <w:tcW w:w="4326" w:type="dxa"/>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评分</w:t>
            </w:r>
          </w:p>
          <w:p>
            <w:pPr>
              <w:widowControl/>
              <w:jc w:val="center"/>
              <w:rPr>
                <w:rFonts w:ascii="仿宋" w:hAnsi="仿宋" w:eastAsia="仿宋" w:cs="仿宋"/>
                <w:kern w:val="0"/>
                <w:sz w:val="24"/>
                <w:szCs w:val="24"/>
              </w:rPr>
            </w:pPr>
            <w:r>
              <w:rPr>
                <w:rFonts w:hint="eastAsia" w:ascii="仿宋" w:hAnsi="仿宋" w:eastAsia="仿宋" w:cs="仿宋"/>
                <w:kern w:val="0"/>
                <w:sz w:val="24"/>
                <w:szCs w:val="24"/>
              </w:rPr>
              <w:t>标准</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1</w:t>
            </w:r>
          </w:p>
        </w:tc>
        <w:tc>
          <w:tcPr>
            <w:tcW w:w="0" w:type="auto"/>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价格部分（10分）</w:t>
            </w: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价格</w:t>
            </w:r>
          </w:p>
        </w:tc>
        <w:tc>
          <w:tcPr>
            <w:tcW w:w="4326" w:type="dxa"/>
            <w:vAlign w:val="center"/>
          </w:tcPr>
          <w:p>
            <w:pPr>
              <w:spacing w:line="300" w:lineRule="exact"/>
              <w:jc w:val="left"/>
              <w:rPr>
                <w:rFonts w:ascii="仿宋" w:hAnsi="仿宋" w:eastAsia="仿宋" w:cs="仿宋"/>
                <w:sz w:val="24"/>
                <w:szCs w:val="24"/>
              </w:rPr>
            </w:pPr>
            <w:r>
              <w:rPr>
                <w:rFonts w:hint="eastAsia" w:ascii="仿宋" w:hAnsi="仿宋" w:eastAsia="仿宋" w:cs="仿宋"/>
                <w:sz w:val="24"/>
                <w:szCs w:val="24"/>
              </w:rPr>
              <w:t>报价得分=（评标基准价/报价）×价格权值×100</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kern w:val="0"/>
                <w:sz w:val="24"/>
                <w:szCs w:val="24"/>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2</w:t>
            </w:r>
          </w:p>
        </w:tc>
        <w:tc>
          <w:tcPr>
            <w:tcW w:w="1117" w:type="dxa"/>
            <w:vMerge w:val="restart"/>
            <w:vAlign w:val="center"/>
          </w:tcPr>
          <w:p>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rPr>
              <w:t>商务</w:t>
            </w:r>
          </w:p>
          <w:p>
            <w:pPr>
              <w:widowControl/>
              <w:jc w:val="left"/>
              <w:rPr>
                <w:rFonts w:ascii="仿宋" w:hAnsi="仿宋" w:eastAsia="仿宋" w:cs="仿宋"/>
                <w:kern w:val="0"/>
                <w:sz w:val="24"/>
                <w:szCs w:val="24"/>
              </w:rPr>
            </w:pPr>
            <w:r>
              <w:rPr>
                <w:rFonts w:hint="eastAsia" w:ascii="仿宋" w:hAnsi="仿宋" w:eastAsia="仿宋" w:cs="仿宋"/>
                <w:kern w:val="0"/>
                <w:sz w:val="24"/>
                <w:szCs w:val="24"/>
              </w:rPr>
              <w:t>（30分）</w:t>
            </w: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rPr>
              <w:t>供应商业绩</w:t>
            </w:r>
          </w:p>
        </w:tc>
        <w:tc>
          <w:tcPr>
            <w:tcW w:w="4326" w:type="dxa"/>
            <w:vAlign w:val="center"/>
          </w:tcPr>
          <w:p>
            <w:pPr>
              <w:spacing w:line="300" w:lineRule="exact"/>
              <w:rPr>
                <w:rFonts w:ascii="仿宋" w:hAnsi="仿宋" w:eastAsia="仿宋" w:cs="仿宋"/>
                <w:sz w:val="24"/>
                <w:szCs w:val="24"/>
              </w:rPr>
            </w:pPr>
            <w:r>
              <w:rPr>
                <w:rFonts w:hint="eastAsia" w:ascii="仿宋" w:hAnsi="仿宋" w:eastAsia="仿宋" w:cs="仿宋"/>
                <w:sz w:val="24"/>
                <w:szCs w:val="24"/>
              </w:rPr>
              <w:t>具有与本项目类似老年人心理关爱及认知促进相关的项目经验：</w:t>
            </w:r>
          </w:p>
          <w:p>
            <w:pPr>
              <w:spacing w:line="300" w:lineRule="exact"/>
              <w:rPr>
                <w:rFonts w:ascii="仿宋" w:hAnsi="仿宋" w:eastAsia="仿宋" w:cs="仿宋"/>
                <w:sz w:val="24"/>
                <w:szCs w:val="24"/>
              </w:rPr>
            </w:pPr>
            <w:r>
              <w:rPr>
                <w:rFonts w:hint="eastAsia" w:ascii="仿宋" w:hAnsi="仿宋" w:eastAsia="仿宋" w:cs="仿宋"/>
                <w:sz w:val="24"/>
                <w:szCs w:val="24"/>
              </w:rPr>
              <w:t>每提供一项得</w:t>
            </w:r>
            <w:r>
              <w:rPr>
                <w:rFonts w:hint="eastAsia" w:ascii="仿宋" w:hAnsi="仿宋" w:eastAsia="仿宋" w:cs="仿宋"/>
                <w:sz w:val="24"/>
                <w:szCs w:val="24"/>
                <w:lang w:val="en-US" w:eastAsia="zh-CN"/>
              </w:rPr>
              <w:t>5</w:t>
            </w:r>
            <w:r>
              <w:rPr>
                <w:rFonts w:hint="eastAsia" w:ascii="仿宋" w:hAnsi="仿宋" w:eastAsia="仿宋" w:cs="仿宋"/>
                <w:sz w:val="24"/>
                <w:szCs w:val="24"/>
              </w:rPr>
              <w:t>分，最多得</w:t>
            </w:r>
            <w:r>
              <w:rPr>
                <w:rFonts w:hint="eastAsia" w:ascii="仿宋" w:hAnsi="仿宋" w:eastAsia="仿宋" w:cs="仿宋"/>
                <w:sz w:val="24"/>
                <w:szCs w:val="24"/>
                <w:lang w:val="en-US" w:eastAsia="zh-CN"/>
              </w:rPr>
              <w:t>15</w:t>
            </w:r>
            <w:r>
              <w:rPr>
                <w:rFonts w:hint="eastAsia" w:ascii="仿宋" w:hAnsi="仿宋" w:eastAsia="仿宋" w:cs="仿宋"/>
                <w:sz w:val="24"/>
                <w:szCs w:val="24"/>
              </w:rPr>
              <w:t>分。</w:t>
            </w:r>
          </w:p>
          <w:p>
            <w:pPr>
              <w:widowControl/>
              <w:jc w:val="left"/>
              <w:rPr>
                <w:rFonts w:ascii="仿宋" w:hAnsi="仿宋" w:eastAsia="仿宋" w:cs="仿宋"/>
                <w:color w:val="000000"/>
                <w:kern w:val="0"/>
                <w:sz w:val="24"/>
                <w:szCs w:val="24"/>
              </w:rPr>
            </w:pPr>
            <w:r>
              <w:rPr>
                <w:rFonts w:hint="eastAsia" w:ascii="仿宋" w:hAnsi="仿宋" w:eastAsia="仿宋" w:cs="仿宋"/>
                <w:sz w:val="24"/>
                <w:szCs w:val="24"/>
              </w:rPr>
              <w:t>（需要提供合同、协议等证明资料）</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3</w:t>
            </w:r>
          </w:p>
        </w:tc>
        <w:tc>
          <w:tcPr>
            <w:tcW w:w="1117" w:type="dxa"/>
            <w:vMerge w:val="continue"/>
            <w:vAlign w:val="center"/>
          </w:tcPr>
          <w:p>
            <w:pPr>
              <w:widowControl/>
              <w:jc w:val="left"/>
              <w:rPr>
                <w:rFonts w:ascii="仿宋" w:hAnsi="仿宋" w:eastAsia="仿宋" w:cs="仿宋"/>
                <w:kern w:val="0"/>
                <w:sz w:val="24"/>
                <w:szCs w:val="24"/>
              </w:rPr>
            </w:pP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rPr>
              <w:t>项目人员情况</w:t>
            </w:r>
          </w:p>
        </w:tc>
        <w:tc>
          <w:tcPr>
            <w:tcW w:w="4326" w:type="dxa"/>
            <w:vAlign w:val="center"/>
          </w:tcPr>
          <w:p>
            <w:pPr>
              <w:spacing w:line="300" w:lineRule="exact"/>
              <w:rPr>
                <w:rFonts w:hint="eastAsia" w:ascii="仿宋" w:hAnsi="仿宋" w:eastAsia="仿宋" w:cs="仿宋"/>
                <w:sz w:val="24"/>
                <w:szCs w:val="24"/>
              </w:rPr>
            </w:pPr>
            <w:r>
              <w:rPr>
                <w:rFonts w:hint="eastAsia" w:ascii="仿宋" w:hAnsi="仿宋" w:eastAsia="仿宋" w:cs="仿宋"/>
                <w:sz w:val="24"/>
                <w:szCs w:val="24"/>
              </w:rPr>
              <w:t>拟投入本项目团队主要成员情况，需涵盖医学、心理学、计算机科学、统计学领域、生命科学的多学科背景</w:t>
            </w:r>
            <w:r>
              <w:rPr>
                <w:rFonts w:hint="eastAsia" w:ascii="仿宋" w:hAnsi="仿宋" w:eastAsia="仿宋" w:cs="仿宋"/>
                <w:sz w:val="24"/>
                <w:szCs w:val="24"/>
                <w:lang w:eastAsia="zh-CN"/>
              </w:rPr>
              <w:t>，</w:t>
            </w:r>
            <w:r>
              <w:rPr>
                <w:rFonts w:hint="eastAsia" w:ascii="仿宋" w:hAnsi="仿宋" w:eastAsia="仿宋" w:cs="仿宋"/>
                <w:sz w:val="24"/>
                <w:szCs w:val="24"/>
              </w:rPr>
              <w:t>提供人员名册，并提供保证后续参与该项工作：</w:t>
            </w:r>
          </w:p>
          <w:p>
            <w:pPr>
              <w:spacing w:line="300" w:lineRule="exact"/>
              <w:rPr>
                <w:rFonts w:ascii="仿宋" w:hAnsi="仿宋" w:eastAsia="仿宋" w:cs="仿宋"/>
                <w:color w:val="000000"/>
                <w:kern w:val="0"/>
                <w:sz w:val="24"/>
                <w:szCs w:val="24"/>
              </w:rPr>
            </w:pPr>
            <w:r>
              <w:rPr>
                <w:rFonts w:hint="eastAsia" w:ascii="仿宋" w:hAnsi="仿宋" w:eastAsia="仿宋" w:cs="仿宋"/>
                <w:sz w:val="24"/>
                <w:szCs w:val="24"/>
              </w:rPr>
              <w:t>最优得</w:t>
            </w:r>
            <w:r>
              <w:rPr>
                <w:rFonts w:hint="eastAsia" w:ascii="仿宋" w:hAnsi="仿宋" w:eastAsia="仿宋" w:cs="仿宋"/>
                <w:sz w:val="24"/>
                <w:szCs w:val="24"/>
                <w:lang w:val="en-US" w:eastAsia="zh-CN"/>
              </w:rPr>
              <w:t>15-11</w:t>
            </w:r>
            <w:r>
              <w:rPr>
                <w:rFonts w:hint="eastAsia" w:ascii="仿宋" w:hAnsi="仿宋" w:eastAsia="仿宋" w:cs="仿宋"/>
                <w:sz w:val="24"/>
                <w:szCs w:val="24"/>
              </w:rPr>
              <w:t>分；一般得</w:t>
            </w:r>
            <w:r>
              <w:rPr>
                <w:rFonts w:hint="eastAsia" w:ascii="仿宋" w:hAnsi="仿宋" w:eastAsia="仿宋" w:cs="仿宋"/>
                <w:sz w:val="24"/>
                <w:szCs w:val="24"/>
                <w:lang w:val="en-US" w:eastAsia="zh-CN"/>
              </w:rPr>
              <w:t>10-6</w:t>
            </w:r>
            <w:r>
              <w:rPr>
                <w:rFonts w:hint="eastAsia" w:ascii="仿宋" w:hAnsi="仿宋" w:eastAsia="仿宋" w:cs="仿宋"/>
                <w:sz w:val="24"/>
                <w:szCs w:val="24"/>
              </w:rPr>
              <w:t>分；较差得</w:t>
            </w:r>
            <w:r>
              <w:rPr>
                <w:rFonts w:hint="eastAsia" w:ascii="仿宋" w:hAnsi="仿宋" w:eastAsia="仿宋" w:cs="仿宋"/>
                <w:sz w:val="24"/>
                <w:szCs w:val="24"/>
                <w:lang w:val="en-US" w:eastAsia="zh-CN"/>
              </w:rPr>
              <w:t>5-0</w:t>
            </w:r>
            <w:r>
              <w:rPr>
                <w:rFonts w:hint="eastAsia" w:ascii="仿宋" w:hAnsi="仿宋" w:eastAsia="仿宋" w:cs="仿宋"/>
                <w:sz w:val="24"/>
                <w:szCs w:val="24"/>
              </w:rPr>
              <w:t>分。</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4</w:t>
            </w:r>
          </w:p>
        </w:tc>
        <w:tc>
          <w:tcPr>
            <w:tcW w:w="1117" w:type="dxa"/>
            <w:vMerge w:val="restart"/>
            <w:vAlign w:val="center"/>
          </w:tcPr>
          <w:p>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rPr>
              <w:t>技术</w:t>
            </w:r>
          </w:p>
          <w:p>
            <w:pPr>
              <w:widowControl/>
              <w:jc w:val="center"/>
              <w:rPr>
                <w:rFonts w:ascii="仿宋" w:hAnsi="仿宋" w:eastAsia="仿宋" w:cs="仿宋"/>
                <w:kern w:val="0"/>
                <w:sz w:val="24"/>
                <w:szCs w:val="24"/>
              </w:rPr>
            </w:pPr>
            <w:r>
              <w:rPr>
                <w:rFonts w:hint="eastAsia" w:ascii="仿宋" w:hAnsi="仿宋" w:eastAsia="仿宋" w:cs="仿宋"/>
                <w:kern w:val="0"/>
                <w:sz w:val="24"/>
                <w:szCs w:val="24"/>
              </w:rPr>
              <w:t>（60分）</w:t>
            </w: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rPr>
              <w:t>心理健康调查工具平台</w:t>
            </w:r>
          </w:p>
        </w:tc>
        <w:tc>
          <w:tcPr>
            <w:tcW w:w="4326" w:type="dxa"/>
            <w:vAlign w:val="center"/>
          </w:tcPr>
          <w:p>
            <w:pPr>
              <w:widowControl/>
              <w:numPr>
                <w:ilvl w:val="-1"/>
                <w:numId w:val="0"/>
              </w:numPr>
              <w:spacing w:line="300" w:lineRule="exact"/>
              <w:jc w:val="left"/>
              <w:rPr>
                <w:rFonts w:ascii="仿宋" w:hAnsi="仿宋" w:eastAsia="仿宋" w:cs="仿宋"/>
                <w:sz w:val="24"/>
                <w:szCs w:val="24"/>
              </w:rPr>
            </w:pPr>
            <w:r>
              <w:rPr>
                <w:rFonts w:hint="eastAsia" w:ascii="仿宋" w:hAnsi="仿宋" w:eastAsia="仿宋" w:cs="仿宋"/>
                <w:sz w:val="24"/>
                <w:szCs w:val="24"/>
                <w:lang w:val="en-US" w:eastAsia="zh-CN"/>
              </w:rPr>
              <w:t>具备</w:t>
            </w:r>
            <w:r>
              <w:rPr>
                <w:rFonts w:hint="eastAsia" w:ascii="仿宋" w:hAnsi="仿宋" w:eastAsia="仿宋" w:cs="仿宋"/>
                <w:sz w:val="24"/>
                <w:szCs w:val="24"/>
              </w:rPr>
              <w:t>可满足老年心理健康调查服务需求</w:t>
            </w:r>
            <w:r>
              <w:rPr>
                <w:rFonts w:hint="eastAsia" w:ascii="仿宋" w:hAnsi="仿宋" w:eastAsia="仿宋" w:cs="仿宋"/>
                <w:sz w:val="24"/>
                <w:szCs w:val="24"/>
                <w:lang w:val="en-US" w:eastAsia="zh-CN"/>
              </w:rPr>
              <w:t>的心理健康调查工具平台</w:t>
            </w:r>
            <w:r>
              <w:rPr>
                <w:rFonts w:hint="eastAsia" w:ascii="仿宋" w:hAnsi="仿宋" w:eastAsia="仿宋" w:cs="仿宋"/>
                <w:sz w:val="24"/>
                <w:szCs w:val="24"/>
              </w:rPr>
              <w:t>：</w:t>
            </w:r>
          </w:p>
          <w:p>
            <w:pPr>
              <w:widowControl/>
              <w:numPr>
                <w:numId w:val="0"/>
              </w:numPr>
              <w:adjustRightInd/>
              <w:snapToGrid/>
              <w:spacing w:line="300" w:lineRule="exact"/>
              <w:jc w:val="left"/>
              <w:rPr>
                <w:rFonts w:ascii="仿宋" w:hAnsi="仿宋" w:eastAsia="仿宋" w:cs="仿宋"/>
                <w:sz w:val="24"/>
                <w:szCs w:val="24"/>
              </w:rPr>
            </w:pPr>
            <w:r>
              <w:rPr>
                <w:rFonts w:hint="eastAsia" w:ascii="仿宋" w:hAnsi="仿宋" w:eastAsia="仿宋" w:cs="仿宋"/>
                <w:sz w:val="24"/>
                <w:szCs w:val="24"/>
              </w:rPr>
              <w:t>能即刻投入项目使用，并且对老年人抑郁症状、焦虑症状、认知功能进行客观量化评估，并自动出具评估报告，得</w:t>
            </w:r>
            <w:r>
              <w:rPr>
                <w:rFonts w:hint="eastAsia" w:ascii="仿宋" w:hAnsi="仿宋" w:eastAsia="仿宋" w:cs="仿宋"/>
                <w:sz w:val="24"/>
                <w:szCs w:val="24"/>
                <w:lang w:val="en-US" w:eastAsia="zh-CN"/>
              </w:rPr>
              <w:t>15-11</w:t>
            </w:r>
            <w:r>
              <w:rPr>
                <w:rFonts w:hint="eastAsia" w:ascii="仿宋" w:hAnsi="仿宋" w:eastAsia="仿宋" w:cs="仿宋"/>
                <w:sz w:val="24"/>
                <w:szCs w:val="24"/>
              </w:rPr>
              <w:t>分；</w:t>
            </w:r>
          </w:p>
          <w:p>
            <w:pPr>
              <w:widowControl/>
              <w:numPr>
                <w:ilvl w:val="-1"/>
                <w:numId w:val="0"/>
              </w:numPr>
              <w:adjustRightInd/>
              <w:snapToGrid/>
              <w:spacing w:line="300" w:lineRule="exact"/>
              <w:ind w:left="0" w:leftChars="0" w:firstLine="0" w:firstLineChars="0"/>
              <w:jc w:val="left"/>
              <w:rPr>
                <w:rFonts w:hint="eastAsia" w:ascii="仿宋" w:hAnsi="仿宋" w:eastAsia="仿宋" w:cs="仿宋"/>
                <w:sz w:val="24"/>
                <w:szCs w:val="24"/>
              </w:rPr>
            </w:pPr>
            <w:r>
              <w:rPr>
                <w:rFonts w:hint="eastAsia" w:ascii="仿宋" w:hAnsi="仿宋" w:eastAsia="仿宋" w:cs="仿宋"/>
                <w:sz w:val="24"/>
                <w:szCs w:val="24"/>
              </w:rPr>
              <w:t>平台不能即刻投入项目使用但明确可投入项目使用时间节点，或者平台不能自动出具评估报告，得</w:t>
            </w:r>
            <w:r>
              <w:rPr>
                <w:rFonts w:hint="eastAsia" w:ascii="仿宋" w:hAnsi="仿宋" w:eastAsia="仿宋" w:cs="仿宋"/>
                <w:sz w:val="24"/>
                <w:szCs w:val="24"/>
                <w:lang w:val="en-US" w:eastAsia="zh-CN"/>
              </w:rPr>
              <w:t>10-6</w:t>
            </w:r>
            <w:r>
              <w:rPr>
                <w:rFonts w:hint="eastAsia" w:ascii="仿宋" w:hAnsi="仿宋" w:eastAsia="仿宋" w:cs="仿宋"/>
                <w:sz w:val="24"/>
                <w:szCs w:val="24"/>
              </w:rPr>
              <w:t>分；</w:t>
            </w:r>
          </w:p>
          <w:p>
            <w:pPr>
              <w:widowControl/>
              <w:numPr>
                <w:ilvl w:val="-1"/>
                <w:numId w:val="0"/>
              </w:numPr>
              <w:adjustRightInd/>
              <w:snapToGrid/>
              <w:spacing w:line="300" w:lineRule="exact"/>
              <w:ind w:left="0" w:leftChars="0" w:firstLine="0" w:firstLineChars="0"/>
              <w:jc w:val="left"/>
              <w:rPr>
                <w:rFonts w:ascii="仿宋" w:hAnsi="仿宋" w:eastAsia="仿宋" w:cs="仿宋"/>
                <w:sz w:val="24"/>
                <w:szCs w:val="24"/>
              </w:rPr>
            </w:pPr>
            <w:r>
              <w:rPr>
                <w:rFonts w:hint="eastAsia" w:ascii="仿宋" w:hAnsi="仿宋" w:eastAsia="仿宋" w:cs="仿宋"/>
                <w:sz w:val="24"/>
                <w:szCs w:val="24"/>
              </w:rPr>
              <w:t>平台不成熟也未明确可投入项目使用时间节点，并且平台不能自动出具评估报告，得</w:t>
            </w:r>
            <w:r>
              <w:rPr>
                <w:rFonts w:hint="eastAsia" w:ascii="仿宋" w:hAnsi="仿宋" w:eastAsia="仿宋" w:cs="仿宋"/>
                <w:sz w:val="24"/>
                <w:szCs w:val="24"/>
                <w:lang w:val="en-US" w:eastAsia="zh-CN"/>
              </w:rPr>
              <w:t>5-0</w:t>
            </w:r>
            <w:r>
              <w:rPr>
                <w:rFonts w:hint="eastAsia" w:ascii="仿宋" w:hAnsi="仿宋" w:eastAsia="仿宋" w:cs="仿宋"/>
                <w:sz w:val="24"/>
                <w:szCs w:val="24"/>
              </w:rPr>
              <w:t>分。</w:t>
            </w:r>
          </w:p>
          <w:p>
            <w:pPr>
              <w:widowControl/>
              <w:numPr>
                <w:ilvl w:val="-1"/>
                <w:numId w:val="0"/>
              </w:numPr>
              <w:adjustRightInd/>
              <w:snapToGrid/>
              <w:spacing w:line="300" w:lineRule="exact"/>
              <w:ind w:left="0" w:leftChars="0" w:firstLine="0" w:firstLineChars="0"/>
              <w:jc w:val="left"/>
              <w:rPr>
                <w:rFonts w:ascii="仿宋" w:hAnsi="仿宋" w:eastAsia="仿宋" w:cs="仿宋"/>
                <w:color w:val="000000"/>
                <w:kern w:val="0"/>
                <w:sz w:val="24"/>
                <w:szCs w:val="24"/>
              </w:rPr>
            </w:pPr>
            <w:r>
              <w:rPr>
                <w:rFonts w:hint="eastAsia" w:ascii="仿宋" w:hAnsi="仿宋" w:eastAsia="仿宋" w:cs="仿宋"/>
                <w:sz w:val="24"/>
                <w:szCs w:val="24"/>
              </w:rPr>
              <w:t>（需要提供心理健康调查工具平台的真实界面截图及平台功能介绍，未提供者不得分）</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5</w:t>
            </w:r>
          </w:p>
        </w:tc>
        <w:tc>
          <w:tcPr>
            <w:tcW w:w="1117" w:type="dxa"/>
            <w:vMerge w:val="continue"/>
            <w:vAlign w:val="center"/>
          </w:tcPr>
          <w:p>
            <w:pPr>
              <w:widowControl/>
              <w:jc w:val="center"/>
              <w:rPr>
                <w:rFonts w:ascii="仿宋" w:hAnsi="仿宋" w:eastAsia="仿宋" w:cs="仿宋"/>
                <w:kern w:val="0"/>
                <w:sz w:val="24"/>
                <w:szCs w:val="24"/>
              </w:rPr>
            </w:pP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rPr>
              <w:t>心理健康问题与认知异常干预方案</w:t>
            </w:r>
          </w:p>
        </w:tc>
        <w:tc>
          <w:tcPr>
            <w:tcW w:w="4326" w:type="dxa"/>
            <w:vAlign w:val="center"/>
          </w:tcPr>
          <w:p>
            <w:pPr>
              <w:widowControl/>
              <w:spacing w:line="300" w:lineRule="exact"/>
              <w:rPr>
                <w:rFonts w:ascii="仿宋" w:hAnsi="仿宋" w:eastAsia="仿宋" w:cs="仿宋"/>
                <w:sz w:val="24"/>
                <w:szCs w:val="24"/>
              </w:rPr>
            </w:pPr>
            <w:r>
              <w:rPr>
                <w:rFonts w:hint="eastAsia" w:ascii="仿宋" w:hAnsi="仿宋" w:eastAsia="仿宋" w:cs="仿宋"/>
                <w:sz w:val="24"/>
                <w:szCs w:val="24"/>
              </w:rPr>
              <w:t>心理健康问题与认知异常干预方案具有针对性和综合性：</w:t>
            </w:r>
          </w:p>
          <w:p>
            <w:pPr>
              <w:widowControl/>
              <w:numPr>
                <w:numId w:val="0"/>
              </w:numPr>
              <w:adjustRightInd/>
              <w:snapToGrid/>
              <w:spacing w:line="300" w:lineRule="exact"/>
              <w:jc w:val="left"/>
              <w:rPr>
                <w:rFonts w:ascii="仿宋" w:hAnsi="仿宋" w:eastAsia="仿宋" w:cs="仿宋"/>
                <w:sz w:val="24"/>
                <w:szCs w:val="24"/>
              </w:rPr>
            </w:pPr>
            <w:r>
              <w:rPr>
                <w:rFonts w:hint="eastAsia" w:ascii="仿宋" w:hAnsi="仿宋" w:eastAsia="仿宋" w:cs="仿宋"/>
                <w:sz w:val="24"/>
                <w:szCs w:val="24"/>
              </w:rPr>
              <w:t>能根据老年人心理健康评估结果提供针对性的干预策略，并从认知功能、情绪调节、饮食、睡眠、运动等方面提供多维度综合管理方案，得</w:t>
            </w:r>
            <w:r>
              <w:rPr>
                <w:rFonts w:hint="eastAsia" w:ascii="仿宋" w:hAnsi="仿宋" w:eastAsia="仿宋" w:cs="仿宋"/>
                <w:sz w:val="24"/>
                <w:szCs w:val="24"/>
                <w:lang w:val="en-US" w:eastAsia="zh-CN"/>
              </w:rPr>
              <w:t>15-11</w:t>
            </w:r>
            <w:r>
              <w:rPr>
                <w:rFonts w:hint="eastAsia" w:ascii="仿宋" w:hAnsi="仿宋" w:eastAsia="仿宋" w:cs="仿宋"/>
                <w:sz w:val="24"/>
                <w:szCs w:val="24"/>
              </w:rPr>
              <w:t>分；</w:t>
            </w:r>
          </w:p>
          <w:p>
            <w:pPr>
              <w:widowControl/>
              <w:spacing w:line="300" w:lineRule="exact"/>
              <w:rPr>
                <w:rFonts w:hint="eastAsia" w:ascii="仿宋" w:hAnsi="仿宋" w:eastAsia="仿宋" w:cs="仿宋"/>
                <w:sz w:val="24"/>
                <w:szCs w:val="24"/>
              </w:rPr>
            </w:pPr>
            <w:r>
              <w:rPr>
                <w:rFonts w:hint="eastAsia" w:ascii="仿宋" w:hAnsi="仿宋" w:eastAsia="仿宋" w:cs="仿宋"/>
                <w:sz w:val="24"/>
                <w:szCs w:val="24"/>
              </w:rPr>
              <w:t>不能根据老年人心理健康评估结果提供针对性的干预策略，或者干预策略不包含多维度综合管理方案，得</w:t>
            </w:r>
            <w:r>
              <w:rPr>
                <w:rFonts w:hint="eastAsia" w:ascii="仿宋" w:hAnsi="仿宋" w:eastAsia="仿宋" w:cs="仿宋"/>
                <w:sz w:val="24"/>
                <w:szCs w:val="24"/>
                <w:lang w:val="en-US" w:eastAsia="zh-CN"/>
              </w:rPr>
              <w:t>10-6</w:t>
            </w:r>
            <w:r>
              <w:rPr>
                <w:rFonts w:hint="eastAsia" w:ascii="仿宋" w:hAnsi="仿宋" w:eastAsia="仿宋" w:cs="仿宋"/>
                <w:sz w:val="24"/>
                <w:szCs w:val="24"/>
              </w:rPr>
              <w:t>分；</w:t>
            </w:r>
          </w:p>
          <w:p>
            <w:pPr>
              <w:widowControl/>
              <w:spacing w:line="300" w:lineRule="exact"/>
              <w:rPr>
                <w:rFonts w:ascii="仿宋" w:hAnsi="仿宋" w:eastAsia="仿宋" w:cs="仿宋"/>
                <w:color w:val="000000"/>
                <w:kern w:val="0"/>
                <w:sz w:val="24"/>
                <w:szCs w:val="24"/>
              </w:rPr>
            </w:pPr>
            <w:r>
              <w:rPr>
                <w:rFonts w:hint="eastAsia" w:ascii="仿宋" w:hAnsi="仿宋" w:eastAsia="仿宋" w:cs="仿宋"/>
                <w:sz w:val="24"/>
                <w:szCs w:val="24"/>
              </w:rPr>
              <w:t>不能根据老年人心理健康评估结果提供针对性的干预策略，并且干预策略不包含多维度综合管理方案，得</w:t>
            </w:r>
            <w:r>
              <w:rPr>
                <w:rFonts w:hint="eastAsia" w:ascii="仿宋" w:hAnsi="仿宋" w:eastAsia="仿宋" w:cs="仿宋"/>
                <w:sz w:val="24"/>
                <w:szCs w:val="24"/>
                <w:lang w:val="en-US" w:eastAsia="zh-CN"/>
              </w:rPr>
              <w:t>5-0</w:t>
            </w:r>
            <w:r>
              <w:rPr>
                <w:rFonts w:hint="eastAsia" w:ascii="仿宋" w:hAnsi="仿宋" w:eastAsia="仿宋" w:cs="仿宋"/>
                <w:sz w:val="24"/>
                <w:szCs w:val="24"/>
              </w:rPr>
              <w:t>分。</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6</w:t>
            </w:r>
          </w:p>
        </w:tc>
        <w:tc>
          <w:tcPr>
            <w:tcW w:w="1117" w:type="dxa"/>
            <w:vMerge w:val="continue"/>
            <w:vAlign w:val="center"/>
          </w:tcPr>
          <w:p>
            <w:pPr>
              <w:widowControl/>
              <w:jc w:val="left"/>
              <w:rPr>
                <w:rFonts w:ascii="仿宋" w:hAnsi="仿宋" w:eastAsia="仿宋" w:cs="仿宋"/>
                <w:kern w:val="0"/>
                <w:sz w:val="24"/>
                <w:szCs w:val="24"/>
              </w:rPr>
            </w:pP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rPr>
              <w:t>服务承诺及数据安全性</w:t>
            </w:r>
          </w:p>
        </w:tc>
        <w:tc>
          <w:tcPr>
            <w:tcW w:w="4326" w:type="dxa"/>
            <w:vAlign w:val="center"/>
          </w:tcPr>
          <w:p>
            <w:pPr>
              <w:widowControl/>
              <w:numPr>
                <w:ilvl w:val="0"/>
                <w:numId w:val="0"/>
              </w:numPr>
              <w:spacing w:line="300" w:lineRule="exact"/>
              <w:ind w:leftChars="0"/>
              <w:jc w:val="left"/>
              <w:rPr>
                <w:rFonts w:ascii="仿宋" w:hAnsi="仿宋" w:eastAsia="仿宋" w:cs="仿宋"/>
                <w:sz w:val="24"/>
                <w:szCs w:val="24"/>
              </w:rPr>
            </w:pPr>
            <w:r>
              <w:rPr>
                <w:rFonts w:hint="eastAsia" w:ascii="仿宋" w:hAnsi="仿宋" w:eastAsia="仿宋" w:cs="仿宋"/>
                <w:sz w:val="24"/>
                <w:szCs w:val="24"/>
              </w:rPr>
              <w:t>服务范围</w:t>
            </w:r>
            <w:r>
              <w:rPr>
                <w:rFonts w:hint="eastAsia" w:ascii="仿宋" w:hAnsi="仿宋" w:eastAsia="仿宋" w:cs="仿宋"/>
                <w:sz w:val="24"/>
                <w:szCs w:val="24"/>
                <w:lang w:val="en-US" w:eastAsia="zh-CN"/>
              </w:rPr>
              <w:t>及数据安全性</w:t>
            </w:r>
            <w:r>
              <w:rPr>
                <w:rFonts w:hint="eastAsia" w:ascii="仿宋" w:hAnsi="仿宋" w:eastAsia="仿宋" w:cs="仿宋"/>
                <w:sz w:val="24"/>
                <w:szCs w:val="24"/>
              </w:rPr>
              <w:t>承诺：</w:t>
            </w:r>
          </w:p>
          <w:p>
            <w:pPr>
              <w:widowControl/>
              <w:numPr>
                <w:numId w:val="0"/>
              </w:numPr>
              <w:adjustRightInd/>
              <w:snapToGrid/>
              <w:spacing w:line="300" w:lineRule="exact"/>
              <w:jc w:val="left"/>
              <w:rPr>
                <w:rFonts w:ascii="仿宋" w:hAnsi="仿宋" w:eastAsia="仿宋" w:cs="仿宋"/>
                <w:sz w:val="24"/>
                <w:szCs w:val="24"/>
              </w:rPr>
            </w:pPr>
            <w:r>
              <w:rPr>
                <w:rFonts w:hint="eastAsia" w:ascii="仿宋" w:hAnsi="仿宋" w:eastAsia="仿宋" w:cs="仿宋"/>
                <w:sz w:val="24"/>
                <w:szCs w:val="24"/>
                <w:lang w:val="en-US" w:eastAsia="zh-CN"/>
              </w:rPr>
              <w:t>能够提供</w:t>
            </w:r>
            <w:r>
              <w:rPr>
                <w:rFonts w:hint="eastAsia" w:ascii="仿宋" w:hAnsi="仿宋" w:eastAsia="仿宋" w:cs="仿宋"/>
                <w:sz w:val="24"/>
                <w:szCs w:val="24"/>
              </w:rPr>
              <w:t>项目具体的</w:t>
            </w:r>
            <w:r>
              <w:rPr>
                <w:rFonts w:hint="eastAsia" w:ascii="仿宋" w:hAnsi="仿宋" w:eastAsia="仿宋" w:cs="仿宋"/>
                <w:sz w:val="24"/>
                <w:szCs w:val="24"/>
                <w:lang w:val="en-US" w:eastAsia="zh-CN"/>
              </w:rPr>
              <w:t>服务范围且具有数据安全性保护承诺及措施，</w:t>
            </w:r>
            <w:r>
              <w:rPr>
                <w:rFonts w:hint="eastAsia" w:ascii="仿宋" w:hAnsi="仿宋" w:eastAsia="仿宋" w:cs="仿宋"/>
                <w:sz w:val="24"/>
                <w:szCs w:val="24"/>
              </w:rPr>
              <w:t>得</w:t>
            </w:r>
            <w:r>
              <w:rPr>
                <w:rFonts w:hint="eastAsia" w:ascii="仿宋" w:hAnsi="仿宋" w:eastAsia="仿宋" w:cs="仿宋"/>
                <w:sz w:val="24"/>
                <w:szCs w:val="24"/>
                <w:lang w:val="en-US" w:eastAsia="zh-CN"/>
              </w:rPr>
              <w:t>15-11</w:t>
            </w:r>
            <w:r>
              <w:rPr>
                <w:rFonts w:hint="eastAsia" w:ascii="仿宋" w:hAnsi="仿宋" w:eastAsia="仿宋" w:cs="仿宋"/>
                <w:sz w:val="24"/>
                <w:szCs w:val="24"/>
              </w:rPr>
              <w:t>分；</w:t>
            </w:r>
          </w:p>
          <w:p>
            <w:pPr>
              <w:widowControl/>
              <w:numPr>
                <w:numId w:val="0"/>
              </w:numPr>
              <w:adjustRightInd/>
              <w:snapToGrid/>
              <w:spacing w:line="300" w:lineRule="exact"/>
              <w:jc w:val="left"/>
              <w:rPr>
                <w:rFonts w:ascii="仿宋" w:hAnsi="仿宋" w:eastAsia="仿宋" w:cs="仿宋"/>
                <w:sz w:val="24"/>
                <w:szCs w:val="24"/>
              </w:rPr>
            </w:pPr>
            <w:r>
              <w:rPr>
                <w:rFonts w:hint="eastAsia" w:ascii="仿宋" w:hAnsi="仿宋" w:eastAsia="仿宋" w:cs="仿宋"/>
                <w:sz w:val="24"/>
                <w:szCs w:val="24"/>
                <w:lang w:val="en-US" w:eastAsia="zh-CN"/>
              </w:rPr>
              <w:t>不能提供项目具体的服务范围或数据安全性承诺及措施不全面，得10-6分；</w:t>
            </w:r>
          </w:p>
          <w:p>
            <w:pPr>
              <w:widowControl/>
              <w:numPr>
                <w:ilvl w:val="0"/>
                <w:numId w:val="0"/>
              </w:numPr>
              <w:spacing w:line="300" w:lineRule="exact"/>
              <w:ind w:leftChars="0"/>
              <w:jc w:val="left"/>
              <w:rPr>
                <w:rFonts w:ascii="仿宋" w:hAnsi="仿宋" w:eastAsia="仿宋" w:cs="仿宋"/>
                <w:color w:val="000000"/>
                <w:kern w:val="0"/>
                <w:sz w:val="24"/>
                <w:szCs w:val="24"/>
              </w:rPr>
            </w:pPr>
            <w:r>
              <w:rPr>
                <w:rFonts w:hint="eastAsia" w:ascii="仿宋" w:hAnsi="仿宋" w:eastAsia="仿宋" w:cs="仿宋"/>
                <w:sz w:val="24"/>
                <w:szCs w:val="24"/>
                <w:lang w:val="en-US" w:eastAsia="zh-CN"/>
              </w:rPr>
              <w:t>不能提供项目具体的服务范围和数据安全性承诺</w:t>
            </w:r>
            <w:r>
              <w:rPr>
                <w:rFonts w:hint="eastAsia" w:ascii="仿宋" w:hAnsi="仿宋" w:eastAsia="仿宋" w:cs="仿宋"/>
                <w:sz w:val="24"/>
                <w:szCs w:val="24"/>
              </w:rPr>
              <w:t>，得</w:t>
            </w:r>
            <w:r>
              <w:rPr>
                <w:rFonts w:hint="eastAsia" w:ascii="仿宋" w:hAnsi="仿宋" w:eastAsia="仿宋" w:cs="仿宋"/>
                <w:sz w:val="24"/>
                <w:szCs w:val="24"/>
                <w:lang w:val="en-US" w:eastAsia="zh-CN"/>
              </w:rPr>
              <w:t>5-</w:t>
            </w:r>
            <w:r>
              <w:rPr>
                <w:rFonts w:hint="eastAsia" w:ascii="仿宋" w:hAnsi="仿宋" w:eastAsia="仿宋" w:cs="仿宋"/>
                <w:sz w:val="24"/>
                <w:szCs w:val="24"/>
              </w:rPr>
              <w:t>0分。</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pPr>
              <w:widowControl/>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7</w:t>
            </w:r>
          </w:p>
        </w:tc>
        <w:tc>
          <w:tcPr>
            <w:tcW w:w="1117" w:type="dxa"/>
            <w:vMerge w:val="continue"/>
            <w:vAlign w:val="center"/>
          </w:tcPr>
          <w:p>
            <w:pPr>
              <w:widowControl/>
              <w:jc w:val="left"/>
              <w:rPr>
                <w:rFonts w:ascii="仿宋" w:hAnsi="仿宋" w:eastAsia="仿宋" w:cs="仿宋"/>
                <w:kern w:val="0"/>
                <w:sz w:val="24"/>
                <w:szCs w:val="24"/>
              </w:rPr>
            </w:pPr>
          </w:p>
        </w:tc>
        <w:tc>
          <w:tcPr>
            <w:tcW w:w="1729"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rPr>
              <w:t>技术优势</w:t>
            </w:r>
          </w:p>
        </w:tc>
        <w:tc>
          <w:tcPr>
            <w:tcW w:w="4326" w:type="dxa"/>
            <w:vAlign w:val="center"/>
          </w:tcPr>
          <w:p>
            <w:pPr>
              <w:widowControl/>
              <w:numPr>
                <w:ilvl w:val="0"/>
                <w:numId w:val="0"/>
              </w:numPr>
              <w:adjustRightInd/>
              <w:snapToGrid/>
              <w:spacing w:line="300" w:lineRule="exact"/>
              <w:jc w:val="left"/>
              <w:rPr>
                <w:rFonts w:hint="eastAsia" w:ascii="仿宋" w:hAnsi="仿宋" w:eastAsia="仿宋" w:cs="仿宋"/>
                <w:sz w:val="24"/>
                <w:szCs w:val="24"/>
                <w:lang w:val="en-US" w:eastAsia="zh-CN"/>
              </w:rPr>
            </w:pPr>
            <w:r>
              <w:rPr>
                <w:rFonts w:hint="eastAsia" w:ascii="仿宋" w:hAnsi="仿宋" w:eastAsia="仿宋" w:cs="仿宋"/>
                <w:sz w:val="24"/>
                <w:szCs w:val="24"/>
              </w:rPr>
              <w:t>具有与本项目所需老年人认知及心理健</w:t>
            </w:r>
            <w:r>
              <w:rPr>
                <w:rFonts w:hint="eastAsia" w:ascii="仿宋" w:hAnsi="仿宋" w:eastAsia="仿宋" w:cs="仿宋"/>
                <w:sz w:val="24"/>
                <w:szCs w:val="24"/>
                <w:lang w:val="en-US" w:eastAsia="zh-CN"/>
              </w:rPr>
              <w:t>康评估相关的研发、技术等相关的公开成果支撑：</w:t>
            </w:r>
          </w:p>
          <w:p>
            <w:pPr>
              <w:widowControl/>
              <w:numPr>
                <w:ilvl w:val="0"/>
                <w:numId w:val="0"/>
              </w:numPr>
              <w:adjustRightInd/>
              <w:snapToGrid/>
              <w:spacing w:line="300" w:lineRule="exact"/>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每提供一项得</w:t>
            </w:r>
            <w:r>
              <w:rPr>
                <w:rFonts w:hint="eastAsia" w:ascii="仿宋" w:hAnsi="仿宋" w:eastAsia="仿宋" w:cs="仿宋"/>
                <w:sz w:val="24"/>
                <w:szCs w:val="24"/>
                <w:lang w:val="en-US" w:eastAsia="zh-CN"/>
              </w:rPr>
              <w:t>5分</w:t>
            </w:r>
            <w:bookmarkStart w:id="0" w:name="_GoBack"/>
            <w:bookmarkEnd w:id="0"/>
            <w:r>
              <w:rPr>
                <w:rFonts w:hint="eastAsia" w:ascii="仿宋" w:hAnsi="仿宋" w:eastAsia="仿宋" w:cs="仿宋"/>
                <w:sz w:val="24"/>
                <w:szCs w:val="24"/>
                <w:lang w:val="en-US" w:eastAsia="zh-CN"/>
              </w:rPr>
              <w:t>，最多得</w:t>
            </w:r>
            <w:r>
              <w:rPr>
                <w:rFonts w:hint="eastAsia" w:ascii="仿宋" w:hAnsi="仿宋" w:eastAsia="仿宋" w:cs="仿宋"/>
                <w:sz w:val="24"/>
                <w:szCs w:val="24"/>
                <w:lang w:val="en-US" w:eastAsia="zh-CN"/>
              </w:rPr>
              <w:t>15分。</w:t>
            </w:r>
          </w:p>
          <w:p>
            <w:pPr>
              <w:widowControl/>
              <w:numPr>
                <w:ilvl w:val="0"/>
                <w:numId w:val="0"/>
              </w:numPr>
              <w:adjustRightInd/>
              <w:snapToGrid/>
              <w:spacing w:line="300" w:lineRule="exact"/>
              <w:jc w:val="left"/>
              <w:rPr>
                <w:rFonts w:ascii="仿宋" w:hAnsi="仿宋" w:eastAsia="仿宋" w:cs="仿宋"/>
                <w:kern w:val="0"/>
                <w:sz w:val="24"/>
                <w:szCs w:val="24"/>
              </w:rPr>
            </w:pPr>
            <w:r>
              <w:rPr>
                <w:rFonts w:hint="eastAsia" w:ascii="仿宋" w:hAnsi="仿宋" w:eastAsia="仿宋" w:cs="仿宋"/>
                <w:sz w:val="24"/>
                <w:szCs w:val="24"/>
                <w:lang w:val="en-US" w:eastAsia="zh-CN"/>
              </w:rPr>
              <w:t>（需提供相应的书籍封面、论文、软著等）</w:t>
            </w:r>
          </w:p>
        </w:tc>
        <w:tc>
          <w:tcPr>
            <w:tcW w:w="577" w:type="dxa"/>
            <w:vAlign w:val="center"/>
          </w:tcPr>
          <w:p>
            <w:pPr>
              <w:widowControl/>
              <w:jc w:val="center"/>
              <w:rPr>
                <w:rFonts w:ascii="仿宋" w:hAnsi="仿宋" w:eastAsia="仿宋" w:cs="仿宋"/>
                <w:kern w:val="0"/>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79" w:type="dxa"/>
            <w:vAlign w:val="center"/>
          </w:tcPr>
          <w:p>
            <w:pPr>
              <w:widowControl/>
              <w:jc w:val="left"/>
              <w:rPr>
                <w:rFonts w:hint="eastAsia" w:ascii="仿宋" w:hAnsi="仿宋" w:eastAsia="仿宋" w:cs="仿宋"/>
                <w:kern w:val="0"/>
                <w:sz w:val="24"/>
                <w:szCs w:val="24"/>
                <w:lang w:val="en-US" w:eastAsia="zh-CN"/>
              </w:rPr>
            </w:pPr>
          </w:p>
        </w:tc>
        <w:tc>
          <w:tcPr>
            <w:tcW w:w="7172" w:type="dxa"/>
            <w:gridSpan w:val="3"/>
            <w:vAlign w:val="center"/>
          </w:tcPr>
          <w:p>
            <w:pPr>
              <w:widowControl/>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总分</w:t>
            </w:r>
          </w:p>
        </w:tc>
        <w:tc>
          <w:tcPr>
            <w:tcW w:w="577" w:type="dxa"/>
            <w:vAlign w:val="center"/>
          </w:tcPr>
          <w:p>
            <w:pPr>
              <w:widowControl/>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100</w:t>
            </w:r>
          </w:p>
        </w:tc>
      </w:tr>
    </w:tbl>
    <w:p>
      <w:pPr>
        <w:widowControl/>
        <w:jc w:val="left"/>
        <w:rPr>
          <w:rFonts w:ascii="仿宋" w:hAnsi="仿宋" w:eastAsia="仿宋" w:cs="宋体"/>
          <w:bCs/>
          <w:sz w:val="28"/>
          <w:szCs w:val="28"/>
        </w:rPr>
      </w:pPr>
    </w:p>
    <w:sectPr>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doNotDisplayPageBoundaries w:val="true"/>
  <w:bordersDoNotSurroundHeader w:val="true"/>
  <w:bordersDoNotSurroundFooter w:val="true"/>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TcytzAzMrI0NrUwMLJQ0lEKTi0uzszPAykwrAUAMw9KnSwAAAA="/>
    <w:docVar w:name="commondata" w:val="eyJoZGlkIjoiNTkwYTE4YWJjNjlmZWJjYTg2NGNkODU2YzdmNGY1YTIifQ=="/>
  </w:docVars>
  <w:rsids>
    <w:rsidRoot w:val="0099485C"/>
    <w:rsid w:val="000A22BF"/>
    <w:rsid w:val="000F5C39"/>
    <w:rsid w:val="00166649"/>
    <w:rsid w:val="00193EAA"/>
    <w:rsid w:val="002813AC"/>
    <w:rsid w:val="00296944"/>
    <w:rsid w:val="002D2684"/>
    <w:rsid w:val="003B2C36"/>
    <w:rsid w:val="003D1C53"/>
    <w:rsid w:val="003D5F9E"/>
    <w:rsid w:val="003E70D5"/>
    <w:rsid w:val="004A674A"/>
    <w:rsid w:val="004D73E0"/>
    <w:rsid w:val="004F644E"/>
    <w:rsid w:val="00504DC9"/>
    <w:rsid w:val="00515BAC"/>
    <w:rsid w:val="006337E9"/>
    <w:rsid w:val="006F7B9A"/>
    <w:rsid w:val="0072607C"/>
    <w:rsid w:val="007456A2"/>
    <w:rsid w:val="00797524"/>
    <w:rsid w:val="007A7660"/>
    <w:rsid w:val="008A2C42"/>
    <w:rsid w:val="0099485C"/>
    <w:rsid w:val="00B33D64"/>
    <w:rsid w:val="00B82E11"/>
    <w:rsid w:val="00B927D3"/>
    <w:rsid w:val="00BA4C9E"/>
    <w:rsid w:val="00CA49E3"/>
    <w:rsid w:val="00D875C2"/>
    <w:rsid w:val="00DB1122"/>
    <w:rsid w:val="00E54984"/>
    <w:rsid w:val="00FF1677"/>
    <w:rsid w:val="0185358B"/>
    <w:rsid w:val="064424ED"/>
    <w:rsid w:val="09410F65"/>
    <w:rsid w:val="286165E5"/>
    <w:rsid w:val="28BA4A28"/>
    <w:rsid w:val="2A021EEC"/>
    <w:rsid w:val="2AB733DD"/>
    <w:rsid w:val="34F66FC6"/>
    <w:rsid w:val="45B977E8"/>
    <w:rsid w:val="473506D4"/>
    <w:rsid w:val="4AF65EAE"/>
    <w:rsid w:val="532A7941"/>
    <w:rsid w:val="54ED50CA"/>
    <w:rsid w:val="65DC3BB9"/>
    <w:rsid w:val="68A51AEC"/>
    <w:rsid w:val="711E3E45"/>
    <w:rsid w:val="71A07410"/>
    <w:rsid w:val="7834054B"/>
    <w:rsid w:val="7A2C349C"/>
    <w:rsid w:val="7FFFFCD3"/>
    <w:rsid w:val="DFBA1A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qFormat="1" w:uiPriority="0" w:semiHidden="0" w:name="envelope return"/>
    <w:lsdException w:uiPriority="0" w:name="footnote reference"/>
    <w:lsdException w:qFormat="1"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qFormat="1" w:uiPriority="99"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1"/>
    <w:semiHidden/>
    <w:unhideWhenUsed/>
    <w:qFormat/>
    <w:uiPriority w:val="99"/>
    <w:pPr>
      <w:spacing w:after="120"/>
      <w:ind w:left="420" w:leftChars="200"/>
    </w:pPr>
  </w:style>
  <w:style w:type="paragraph" w:styleId="4">
    <w:name w:val="annotation text"/>
    <w:basedOn w:val="1"/>
    <w:link w:val="17"/>
    <w:unhideWhenUsed/>
    <w:qFormat/>
    <w:uiPriority w:val="99"/>
    <w:pPr>
      <w:jc w:val="left"/>
    </w:pPr>
  </w:style>
  <w:style w:type="paragraph" w:styleId="5">
    <w:name w:val="Balloon Text"/>
    <w:basedOn w:val="1"/>
    <w:link w:val="19"/>
    <w:unhideWhenUsed/>
    <w:qFormat/>
    <w:uiPriority w:val="99"/>
    <w:rPr>
      <w:sz w:val="18"/>
      <w:szCs w:val="18"/>
    </w:rPr>
  </w:style>
  <w:style w:type="paragraph" w:styleId="6">
    <w:name w:val="footer"/>
    <w:basedOn w:val="1"/>
    <w:link w:val="15"/>
    <w:unhideWhenUsed/>
    <w:qFormat/>
    <w:uiPriority w:val="99"/>
    <w:pPr>
      <w:tabs>
        <w:tab w:val="center" w:pos="4153"/>
        <w:tab w:val="right" w:pos="8306"/>
      </w:tabs>
      <w:snapToGrid w:val="0"/>
      <w:jc w:val="left"/>
    </w:pPr>
    <w:rPr>
      <w:sz w:val="18"/>
      <w:szCs w:val="18"/>
    </w:rPr>
  </w:style>
  <w:style w:type="paragraph" w:styleId="7">
    <w:name w:val="envelope return"/>
    <w:basedOn w:val="1"/>
    <w:unhideWhenUsed/>
    <w:qFormat/>
    <w:uiPriority w:val="0"/>
    <w:pPr>
      <w:snapToGrid w:val="0"/>
    </w:pPr>
    <w:rPr>
      <w:rFonts w:ascii="Arial" w:hAnsi="Arial"/>
    </w:rPr>
  </w:style>
  <w:style w:type="paragraph" w:styleId="8">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annotation subject"/>
    <w:basedOn w:val="4"/>
    <w:next w:val="4"/>
    <w:link w:val="18"/>
    <w:unhideWhenUsed/>
    <w:qFormat/>
    <w:uiPriority w:val="99"/>
    <w:rPr>
      <w:b/>
      <w:bCs/>
    </w:rPr>
  </w:style>
  <w:style w:type="character" w:styleId="12">
    <w:name w:val="annotation reference"/>
    <w:basedOn w:val="11"/>
    <w:unhideWhenUsed/>
    <w:qFormat/>
    <w:uiPriority w:val="99"/>
    <w:rPr>
      <w:sz w:val="21"/>
      <w:szCs w:val="21"/>
    </w:rPr>
  </w:style>
  <w:style w:type="paragraph" w:customStyle="1" w:styleId="13">
    <w:name w:val="列表段落1"/>
    <w:basedOn w:val="1"/>
    <w:link w:val="16"/>
    <w:qFormat/>
    <w:uiPriority w:val="34"/>
    <w:pPr>
      <w:ind w:firstLine="420" w:firstLineChars="200"/>
    </w:pPr>
  </w:style>
  <w:style w:type="character" w:customStyle="1" w:styleId="14">
    <w:name w:val="页眉 字符"/>
    <w:basedOn w:val="11"/>
    <w:link w:val="8"/>
    <w:qFormat/>
    <w:uiPriority w:val="99"/>
    <w:rPr>
      <w:sz w:val="18"/>
      <w:szCs w:val="18"/>
    </w:rPr>
  </w:style>
  <w:style w:type="character" w:customStyle="1" w:styleId="15">
    <w:name w:val="页脚 字符"/>
    <w:basedOn w:val="11"/>
    <w:link w:val="6"/>
    <w:qFormat/>
    <w:uiPriority w:val="99"/>
    <w:rPr>
      <w:sz w:val="18"/>
      <w:szCs w:val="18"/>
    </w:rPr>
  </w:style>
  <w:style w:type="character" w:customStyle="1" w:styleId="16">
    <w:name w:val="列出段落 Char"/>
    <w:link w:val="13"/>
    <w:qFormat/>
    <w:uiPriority w:val="34"/>
    <w:rPr>
      <w:rFonts w:ascii="Calibri" w:hAnsi="Calibri"/>
    </w:rPr>
  </w:style>
  <w:style w:type="character" w:customStyle="1" w:styleId="17">
    <w:name w:val="批注文字 字符"/>
    <w:basedOn w:val="11"/>
    <w:link w:val="4"/>
    <w:semiHidden/>
    <w:qFormat/>
    <w:uiPriority w:val="99"/>
  </w:style>
  <w:style w:type="character" w:customStyle="1" w:styleId="18">
    <w:name w:val="批注主题 字符"/>
    <w:basedOn w:val="17"/>
    <w:link w:val="9"/>
    <w:semiHidden/>
    <w:qFormat/>
    <w:uiPriority w:val="99"/>
    <w:rPr>
      <w:b/>
      <w:bCs/>
    </w:rPr>
  </w:style>
  <w:style w:type="character" w:customStyle="1" w:styleId="19">
    <w:name w:val="批注框文本 字符"/>
    <w:basedOn w:val="11"/>
    <w:link w:val="5"/>
    <w:semiHidden/>
    <w:qFormat/>
    <w:uiPriority w:val="99"/>
    <w:rPr>
      <w:sz w:val="18"/>
      <w:szCs w:val="18"/>
    </w:rPr>
  </w:style>
  <w:style w:type="paragraph" w:customStyle="1" w:styleId="20">
    <w:name w:val="正文表格"/>
    <w:basedOn w:val="1"/>
    <w:qFormat/>
    <w:uiPriority w:val="0"/>
    <w:pPr>
      <w:adjustRightInd w:val="0"/>
      <w:snapToGrid w:val="0"/>
      <w:jc w:val="left"/>
    </w:pPr>
    <w:rPr>
      <w:rFonts w:ascii="宋体" w:hAnsi="宋体"/>
      <w:color w:val="000000"/>
      <w:szCs w:val="21"/>
    </w:rPr>
  </w:style>
  <w:style w:type="paragraph" w:styleId="21">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1879</Words>
  <Characters>1900</Characters>
  <Lines>17</Lines>
  <Paragraphs>4</Paragraphs>
  <TotalTime>2</TotalTime>
  <ScaleCrop>false</ScaleCrop>
  <LinksUpToDate>false</LinksUpToDate>
  <CharactersWithSpaces>1902</CharactersWithSpaces>
  <Application>WPS Office_11.8.2.10587_F1E327BC-269C-435d-A152-05C5408002CA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2024-04-11T18:59:00Z</dcterms:created>
  <dc:creator>强文晓</dc:creator>
  <cp:lastModifiedBy>admin</cp:lastModifiedBy>
  <dcterms:modified xsi:type="dcterms:W3CDTF">2025-03-24T14:45:47Z</dcterms:modified>
  <dc:title>申请人须知</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2052-11.8.2.10587</vt:lpwstr>
  </property>
  <property fmtid="{D5CDD505-2E9C-101B-9397-08002B2CF9AE}" pid="3" name="ICV">
    <vt:lpwstr>8E53B1A6991844FCBF02DD2E1ED5670C_13</vt:lpwstr>
  </property>
</Properties>
</file>