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7F24C">
      <w:pPr>
        <w:jc w:val="center"/>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 xml:space="preserve">2025年护士节宣传活动项目评分表           </w:t>
      </w:r>
    </w:p>
    <w:tbl>
      <w:tblPr>
        <w:tblStyle w:val="11"/>
        <w:tblW w:w="15595" w:type="dxa"/>
        <w:tblInd w:w="-1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13"/>
        <w:gridCol w:w="2070"/>
        <w:gridCol w:w="705"/>
        <w:gridCol w:w="8467"/>
        <w:gridCol w:w="795"/>
        <w:gridCol w:w="2245"/>
      </w:tblGrid>
      <w:tr w14:paraId="79270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blHeader/>
        </w:trPr>
        <w:tc>
          <w:tcPr>
            <w:tcW w:w="1313" w:type="dxa"/>
            <w:tcBorders>
              <w:bottom w:val="single" w:color="000000" w:sz="4" w:space="0"/>
              <w:right w:val="single" w:color="000000" w:sz="8" w:space="0"/>
            </w:tcBorders>
            <w:shd w:val="clear" w:color="auto" w:fill="FFFFFF"/>
            <w:vAlign w:val="center"/>
          </w:tcPr>
          <w:p w14:paraId="2829A57D">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楷体" w:hAnsi="楷体" w:eastAsia="楷体" w:cs="楷体"/>
                <w:b/>
                <w:sz w:val="24"/>
                <w:szCs w:val="24"/>
              </w:rPr>
            </w:pPr>
            <w:r>
              <w:rPr>
                <w:rFonts w:hint="eastAsia" w:ascii="楷体" w:hAnsi="楷体" w:eastAsia="楷体" w:cs="楷体"/>
                <w:b/>
                <w:sz w:val="24"/>
                <w:szCs w:val="24"/>
              </w:rPr>
              <w:t>内容</w:t>
            </w:r>
          </w:p>
        </w:tc>
        <w:tc>
          <w:tcPr>
            <w:tcW w:w="2070" w:type="dxa"/>
            <w:tcBorders>
              <w:left w:val="nil"/>
              <w:bottom w:val="single" w:color="000000" w:sz="4" w:space="0"/>
              <w:right w:val="single" w:color="000000" w:sz="8" w:space="0"/>
            </w:tcBorders>
            <w:shd w:val="clear" w:color="auto" w:fill="FFFFFF"/>
            <w:vAlign w:val="center"/>
          </w:tcPr>
          <w:p w14:paraId="6AA8892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楷体" w:hAnsi="楷体" w:eastAsia="楷体" w:cs="楷体"/>
                <w:b/>
                <w:sz w:val="24"/>
                <w:szCs w:val="24"/>
              </w:rPr>
            </w:pPr>
            <w:r>
              <w:rPr>
                <w:rFonts w:hint="eastAsia" w:ascii="楷体" w:hAnsi="楷体" w:eastAsia="楷体" w:cs="楷体"/>
                <w:b/>
                <w:sz w:val="24"/>
                <w:szCs w:val="24"/>
              </w:rPr>
              <w:t>评分内容</w:t>
            </w:r>
          </w:p>
        </w:tc>
        <w:tc>
          <w:tcPr>
            <w:tcW w:w="705" w:type="dxa"/>
            <w:tcBorders>
              <w:left w:val="nil"/>
              <w:bottom w:val="single" w:color="000000" w:sz="4" w:space="0"/>
              <w:right w:val="single" w:color="000000" w:sz="8" w:space="0"/>
            </w:tcBorders>
            <w:shd w:val="clear" w:color="auto" w:fill="FFFFFF"/>
            <w:vAlign w:val="center"/>
          </w:tcPr>
          <w:p w14:paraId="47C19642">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楷体" w:hAnsi="楷体" w:eastAsia="楷体" w:cs="楷体"/>
                <w:b/>
                <w:sz w:val="24"/>
                <w:szCs w:val="24"/>
              </w:rPr>
            </w:pPr>
            <w:r>
              <w:rPr>
                <w:rFonts w:hint="eastAsia" w:ascii="楷体" w:hAnsi="楷体" w:eastAsia="楷体" w:cs="楷体"/>
                <w:b/>
                <w:sz w:val="24"/>
                <w:szCs w:val="24"/>
              </w:rPr>
              <w:t>分值</w:t>
            </w:r>
          </w:p>
        </w:tc>
        <w:tc>
          <w:tcPr>
            <w:tcW w:w="8467" w:type="dxa"/>
            <w:tcBorders>
              <w:left w:val="single" w:color="000000" w:sz="2" w:space="0"/>
              <w:bottom w:val="single" w:color="000000" w:sz="4" w:space="0"/>
              <w:right w:val="single" w:color="000000" w:sz="8" w:space="0"/>
            </w:tcBorders>
            <w:shd w:val="clear" w:color="auto" w:fill="FFFFFF"/>
            <w:vAlign w:val="center"/>
          </w:tcPr>
          <w:p w14:paraId="2F0C7521">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楷体" w:hAnsi="楷体" w:eastAsia="楷体" w:cs="楷体"/>
                <w:b/>
                <w:sz w:val="24"/>
                <w:szCs w:val="24"/>
              </w:rPr>
            </w:pPr>
            <w:r>
              <w:rPr>
                <w:rFonts w:hint="eastAsia" w:ascii="楷体" w:hAnsi="楷体" w:eastAsia="楷体" w:cs="楷体"/>
                <w:b/>
                <w:sz w:val="24"/>
                <w:szCs w:val="24"/>
              </w:rPr>
              <w:t>评标标准</w:t>
            </w:r>
          </w:p>
        </w:tc>
        <w:tc>
          <w:tcPr>
            <w:tcW w:w="795" w:type="dxa"/>
            <w:tcBorders>
              <w:left w:val="single" w:color="000000" w:sz="2" w:space="0"/>
              <w:bottom w:val="single" w:color="000000" w:sz="4" w:space="0"/>
              <w:right w:val="single" w:color="000000" w:sz="8" w:space="0"/>
            </w:tcBorders>
            <w:shd w:val="clear" w:color="auto" w:fill="FFFFFF"/>
            <w:vAlign w:val="center"/>
          </w:tcPr>
          <w:p w14:paraId="5A5B7E6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楷体" w:hAnsi="楷体" w:eastAsia="楷体" w:cs="楷体"/>
                <w:b/>
                <w:sz w:val="24"/>
                <w:szCs w:val="24"/>
                <w:lang w:eastAsia="zh-CN"/>
              </w:rPr>
            </w:pPr>
            <w:r>
              <w:rPr>
                <w:rFonts w:hint="eastAsia" w:ascii="楷体" w:hAnsi="楷体" w:eastAsia="楷体" w:cs="楷体"/>
                <w:b/>
                <w:sz w:val="24"/>
                <w:szCs w:val="24"/>
                <w:lang w:eastAsia="zh-CN"/>
              </w:rPr>
              <w:t>得分</w:t>
            </w:r>
          </w:p>
        </w:tc>
        <w:tc>
          <w:tcPr>
            <w:tcW w:w="2245" w:type="dxa"/>
            <w:tcBorders>
              <w:left w:val="single" w:color="000000" w:sz="2" w:space="0"/>
              <w:bottom w:val="single" w:color="000000" w:sz="4" w:space="0"/>
            </w:tcBorders>
            <w:shd w:val="clear" w:color="auto" w:fill="FFFFFF"/>
            <w:vAlign w:val="center"/>
          </w:tcPr>
          <w:p w14:paraId="3099E1FE">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楷体" w:hAnsi="楷体" w:eastAsia="楷体" w:cs="楷体"/>
                <w:b/>
                <w:sz w:val="24"/>
                <w:szCs w:val="24"/>
                <w:lang w:eastAsia="zh-CN"/>
              </w:rPr>
            </w:pPr>
            <w:r>
              <w:rPr>
                <w:rFonts w:hint="eastAsia" w:ascii="楷体" w:hAnsi="楷体" w:eastAsia="楷体" w:cs="楷体"/>
                <w:b/>
                <w:sz w:val="24"/>
                <w:szCs w:val="24"/>
                <w:lang w:eastAsia="zh-CN"/>
              </w:rPr>
              <w:t>备注</w:t>
            </w:r>
          </w:p>
        </w:tc>
      </w:tr>
      <w:tr w14:paraId="57700F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1313" w:type="dxa"/>
            <w:vMerge w:val="restart"/>
            <w:tcBorders>
              <w:top w:val="single" w:color="auto" w:sz="4" w:space="0"/>
              <w:bottom w:val="single" w:color="auto" w:sz="4" w:space="0"/>
              <w:right w:val="single" w:color="000000" w:sz="8" w:space="0"/>
            </w:tcBorders>
            <w:shd w:val="clear" w:color="auto" w:fill="FFFFFF"/>
            <w:vAlign w:val="center"/>
          </w:tcPr>
          <w:p w14:paraId="6F1AB9FC">
            <w:pPr>
              <w:keepNext w:val="0"/>
              <w:keepLines w:val="0"/>
              <w:pageBreakBefore w:val="0"/>
              <w:widowControl/>
              <w:kinsoku/>
              <w:wordWrap/>
              <w:overflowPunct/>
              <w:topLinePunct w:val="0"/>
              <w:autoSpaceDE/>
              <w:autoSpaceDN/>
              <w:bidi w:val="0"/>
              <w:adjustRightInd/>
              <w:snapToGrid/>
              <w:spacing w:line="380" w:lineRule="exact"/>
              <w:jc w:val="center"/>
              <w:textAlignment w:val="baseline"/>
              <w:rPr>
                <w:rFonts w:hint="eastAsia" w:ascii="仿宋_GB2312" w:hAnsi="宋体" w:eastAsia="仿宋_GB2312" w:cs="宋体"/>
                <w:sz w:val="24"/>
                <w:szCs w:val="24"/>
              </w:rPr>
            </w:pPr>
            <w:r>
              <w:rPr>
                <w:rFonts w:hint="eastAsia" w:ascii="仿宋_GB2312" w:hAnsi="宋体" w:eastAsia="仿宋_GB2312" w:cs="Times New Roman"/>
                <w:sz w:val="24"/>
                <w:szCs w:val="24"/>
              </w:rPr>
              <w:t>技术部分</w:t>
            </w:r>
            <w:r>
              <w:rPr>
                <w:rFonts w:hint="eastAsia" w:ascii="仿宋_GB2312" w:hAnsi="宋体" w:eastAsia="仿宋_GB2312" w:cs="Times New Roman"/>
                <w:sz w:val="24"/>
                <w:szCs w:val="24"/>
                <w:lang w:eastAsia="zh-CN"/>
              </w:rPr>
              <w:t>（</w:t>
            </w:r>
            <w:r>
              <w:rPr>
                <w:rFonts w:hint="eastAsia" w:ascii="仿宋_GB2312" w:hAnsi="宋体" w:eastAsia="仿宋_GB2312" w:cs="Times New Roman"/>
                <w:sz w:val="24"/>
                <w:szCs w:val="24"/>
                <w:lang w:val="en-US" w:eastAsia="zh-CN"/>
              </w:rPr>
              <w:t>70分</w:t>
            </w:r>
            <w:r>
              <w:rPr>
                <w:rFonts w:hint="eastAsia" w:ascii="仿宋_GB2312" w:hAnsi="宋体" w:eastAsia="仿宋_GB2312" w:cs="Times New Roman"/>
                <w:sz w:val="24"/>
                <w:szCs w:val="24"/>
                <w:lang w:eastAsia="zh-CN"/>
              </w:rPr>
              <w:t>）</w:t>
            </w:r>
          </w:p>
        </w:tc>
        <w:tc>
          <w:tcPr>
            <w:tcW w:w="2070" w:type="dxa"/>
            <w:tcBorders>
              <w:top w:val="single" w:color="auto" w:sz="4" w:space="0"/>
              <w:left w:val="nil"/>
              <w:bottom w:val="single" w:color="auto" w:sz="4" w:space="0"/>
              <w:right w:val="single" w:color="auto" w:sz="4" w:space="0"/>
            </w:tcBorders>
            <w:shd w:val="clear" w:color="auto" w:fill="FFFFFF"/>
            <w:vAlign w:val="center"/>
          </w:tcPr>
          <w:p w14:paraId="7C6A1316">
            <w:pPr>
              <w:keepNext w:val="0"/>
              <w:keepLines w:val="0"/>
              <w:pageBreakBefore w:val="0"/>
              <w:widowControl/>
              <w:kinsoku/>
              <w:wordWrap/>
              <w:overflowPunct/>
              <w:topLinePunct w:val="0"/>
              <w:autoSpaceDE/>
              <w:autoSpaceDN/>
              <w:bidi w:val="0"/>
              <w:adjustRightInd/>
              <w:snapToGrid/>
              <w:spacing w:line="320" w:lineRule="exact"/>
              <w:jc w:val="center"/>
              <w:textAlignment w:val="baseline"/>
              <w:rPr>
                <w:rFonts w:hint="eastAsia" w:ascii="仿宋_GB2312" w:hAnsi="宋体" w:eastAsia="仿宋_GB2312" w:cs="宋体"/>
                <w:sz w:val="24"/>
                <w:szCs w:val="24"/>
              </w:rPr>
            </w:pPr>
            <w:r>
              <w:rPr>
                <w:rFonts w:hint="eastAsia" w:ascii="仿宋_GB2312" w:hAnsi="宋体" w:eastAsia="仿宋_GB2312" w:cs="Times New Roman"/>
                <w:sz w:val="24"/>
                <w:szCs w:val="24"/>
              </w:rPr>
              <w:t>针对本项目特点的专业化实施方案评价</w:t>
            </w:r>
          </w:p>
        </w:tc>
        <w:tc>
          <w:tcPr>
            <w:tcW w:w="705" w:type="dxa"/>
            <w:tcBorders>
              <w:top w:val="single" w:color="000000" w:sz="4" w:space="0"/>
              <w:left w:val="single" w:color="auto" w:sz="4" w:space="0"/>
              <w:bottom w:val="single" w:color="000000" w:sz="4" w:space="0"/>
              <w:right w:val="single" w:color="000000" w:sz="8" w:space="0"/>
            </w:tcBorders>
            <w:shd w:val="clear" w:color="auto" w:fill="FFFFFF"/>
            <w:vAlign w:val="center"/>
          </w:tcPr>
          <w:p w14:paraId="0181C153">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8467" w:type="dxa"/>
            <w:tcBorders>
              <w:top w:val="single" w:color="000000" w:sz="4" w:space="0"/>
              <w:left w:val="single" w:color="000000" w:sz="2" w:space="0"/>
              <w:bottom w:val="single" w:color="000000" w:sz="4" w:space="0"/>
              <w:right w:val="single" w:color="000000" w:sz="8" w:space="0"/>
            </w:tcBorders>
            <w:shd w:val="clear" w:color="auto" w:fill="FFFFFF"/>
            <w:vAlign w:val="center"/>
          </w:tcPr>
          <w:p w14:paraId="12A83B90">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针对本项目遴选需求提供：①根据确定的纪念活动项目方案有明确的执行思路及实施计划。</w:t>
            </w:r>
            <w:r>
              <w:rPr>
                <w:rFonts w:hint="eastAsia" w:ascii="仿宋_GB2312" w:hAnsi="仿宋_GB2312" w:eastAsia="仿宋_GB2312" w:cs="仿宋_GB2312"/>
                <w:sz w:val="24"/>
                <w:szCs w:val="24"/>
                <w:lang w:val="en-US" w:eastAsia="zh-CN"/>
              </w:rPr>
              <w:t>②预期活动宣传效果</w:t>
            </w:r>
            <w:r>
              <w:rPr>
                <w:rFonts w:hint="eastAsia" w:ascii="仿宋_GB2312" w:hAnsi="仿宋_GB2312" w:eastAsia="仿宋_GB2312" w:cs="仿宋_GB2312"/>
                <w:sz w:val="24"/>
                <w:szCs w:val="24"/>
                <w:lang w:eastAsia="zh-CN"/>
              </w:rPr>
              <w:t>。项目实施方案编制思路清晰、目标明确、条理严谨，实施方案对项目结果的最终实现具有良好的支撑性、衔接性，符合遴选工作任务要求，预期成果及技术路线完备。</w:t>
            </w:r>
          </w:p>
          <w:p w14:paraId="3EC0A963">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u w:val="single"/>
                <w:lang w:eastAsia="zh-CN"/>
              </w:rPr>
              <w:t>每项内容满分</w:t>
            </w:r>
            <w:r>
              <w:rPr>
                <w:rFonts w:hint="eastAsia" w:ascii="仿宋_GB2312" w:hAnsi="仿宋_GB2312" w:eastAsia="仿宋_GB2312" w:cs="仿宋_GB2312"/>
                <w:b/>
                <w:bCs/>
                <w:sz w:val="24"/>
                <w:szCs w:val="24"/>
                <w:u w:val="single"/>
                <w:lang w:val="en-US" w:eastAsia="zh-CN"/>
              </w:rPr>
              <w:t>15分</w:t>
            </w:r>
            <w:r>
              <w:rPr>
                <w:rFonts w:hint="eastAsia" w:ascii="仿宋_GB2312" w:hAnsi="仿宋_GB2312" w:eastAsia="仿宋_GB2312" w:cs="仿宋_GB2312"/>
                <w:sz w:val="24"/>
                <w:szCs w:val="24"/>
                <w:lang w:val="en-US" w:eastAsia="zh-CN"/>
              </w:rPr>
              <w:t>，内容进行</w:t>
            </w:r>
            <w:bookmarkStart w:id="0" w:name="_GoBack"/>
            <w:bookmarkEnd w:id="0"/>
            <w:r>
              <w:rPr>
                <w:rFonts w:hint="eastAsia" w:ascii="仿宋_GB2312" w:hAnsi="仿宋_GB2312" w:eastAsia="仿宋_GB2312" w:cs="仿宋_GB2312"/>
                <w:sz w:val="24"/>
                <w:szCs w:val="24"/>
                <w:lang w:val="en-US" w:eastAsia="zh-CN"/>
              </w:rPr>
              <w:t>了详细的论述且满足遴选需求，优秀的得15分、良好的得10分，内容虽阐述但未贴合项目实际情况或内容未包括具体实施细节及措施得5分，内容未进行阐述或不满足遴选需求得0分。</w:t>
            </w:r>
          </w:p>
        </w:tc>
        <w:tc>
          <w:tcPr>
            <w:tcW w:w="795" w:type="dxa"/>
            <w:tcBorders>
              <w:top w:val="single" w:color="000000" w:sz="4" w:space="0"/>
              <w:left w:val="single" w:color="000000" w:sz="2" w:space="0"/>
              <w:bottom w:val="single" w:color="000000" w:sz="4" w:space="0"/>
              <w:right w:val="single" w:color="000000" w:sz="8" w:space="0"/>
            </w:tcBorders>
            <w:shd w:val="clear" w:color="auto" w:fill="FFFFFF"/>
            <w:vAlign w:val="center"/>
          </w:tcPr>
          <w:p w14:paraId="0A1F57B6">
            <w:pPr>
              <w:rPr>
                <w:rFonts w:hint="eastAsia" w:ascii="仿宋_GB2312" w:hAnsi="仿宋_GB2312" w:eastAsia="仿宋_GB2312" w:cs="仿宋_GB2312"/>
                <w:sz w:val="21"/>
                <w:szCs w:val="21"/>
                <w:lang w:eastAsia="zh-CN"/>
              </w:rPr>
            </w:pPr>
          </w:p>
        </w:tc>
        <w:tc>
          <w:tcPr>
            <w:tcW w:w="2245" w:type="dxa"/>
            <w:tcBorders>
              <w:top w:val="single" w:color="000000" w:sz="4" w:space="0"/>
              <w:left w:val="single" w:color="000000" w:sz="2" w:space="0"/>
              <w:bottom w:val="single" w:color="000000" w:sz="4" w:space="0"/>
            </w:tcBorders>
            <w:shd w:val="clear" w:color="auto" w:fill="FFFFFF"/>
            <w:vAlign w:val="center"/>
          </w:tcPr>
          <w:p w14:paraId="5076C86A">
            <w:pPr>
              <w:rPr>
                <w:rFonts w:hint="eastAsia" w:ascii="仿宋_GB2312" w:hAnsi="仿宋_GB2312" w:eastAsia="仿宋_GB2312" w:cs="仿宋_GB2312"/>
                <w:sz w:val="21"/>
                <w:szCs w:val="21"/>
                <w:lang w:eastAsia="zh-CN"/>
              </w:rPr>
            </w:pPr>
          </w:p>
        </w:tc>
      </w:tr>
      <w:tr w14:paraId="07137F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99" w:hRule="atLeast"/>
        </w:trPr>
        <w:tc>
          <w:tcPr>
            <w:tcW w:w="1313" w:type="dxa"/>
            <w:vMerge w:val="continue"/>
            <w:tcBorders>
              <w:top w:val="single" w:color="auto" w:sz="4" w:space="0"/>
              <w:bottom w:val="single" w:color="000000" w:sz="4" w:space="0"/>
              <w:right w:val="single" w:color="000000" w:sz="8" w:space="0"/>
            </w:tcBorders>
            <w:shd w:val="clear" w:color="auto" w:fill="auto"/>
            <w:vAlign w:val="center"/>
          </w:tcPr>
          <w:p w14:paraId="3096F0FF">
            <w:pPr>
              <w:keepNext w:val="0"/>
              <w:keepLines w:val="0"/>
              <w:pageBreakBefore w:val="0"/>
              <w:widowControl/>
              <w:kinsoku/>
              <w:wordWrap/>
              <w:overflowPunct/>
              <w:topLinePunct w:val="0"/>
              <w:autoSpaceDE/>
              <w:autoSpaceDN/>
              <w:bidi w:val="0"/>
              <w:adjustRightInd/>
              <w:snapToGrid/>
              <w:spacing w:line="380" w:lineRule="exact"/>
              <w:jc w:val="left"/>
              <w:textAlignment w:val="baseline"/>
              <w:rPr>
                <w:rFonts w:hint="eastAsia" w:ascii="仿宋_GB2312" w:hAnsi="宋体" w:eastAsia="仿宋_GB2312" w:cs="宋体"/>
                <w:sz w:val="24"/>
                <w:szCs w:val="24"/>
              </w:rPr>
            </w:pPr>
          </w:p>
        </w:tc>
        <w:tc>
          <w:tcPr>
            <w:tcW w:w="2070" w:type="dxa"/>
            <w:tcBorders>
              <w:top w:val="single" w:color="auto" w:sz="4" w:space="0"/>
              <w:left w:val="nil"/>
              <w:bottom w:val="single" w:color="000000" w:sz="4" w:space="0"/>
              <w:right w:val="single" w:color="000000" w:sz="8" w:space="0"/>
            </w:tcBorders>
            <w:shd w:val="clear" w:color="auto" w:fill="FFFFFF"/>
            <w:vAlign w:val="center"/>
          </w:tcPr>
          <w:p w14:paraId="27CEA63A">
            <w:pPr>
              <w:keepNext w:val="0"/>
              <w:keepLines w:val="0"/>
              <w:pageBreakBefore w:val="0"/>
              <w:widowControl/>
              <w:kinsoku/>
              <w:wordWrap/>
              <w:overflowPunct/>
              <w:topLinePunct w:val="0"/>
              <w:autoSpaceDE/>
              <w:autoSpaceDN/>
              <w:bidi w:val="0"/>
              <w:adjustRightInd/>
              <w:snapToGrid/>
              <w:spacing w:line="320" w:lineRule="exact"/>
              <w:jc w:val="center"/>
              <w:textAlignment w:val="baseline"/>
              <w:rPr>
                <w:rFonts w:hint="eastAsia" w:ascii="仿宋_GB2312" w:hAnsi="宋体" w:eastAsia="仿宋_GB2312" w:cs="宋体"/>
                <w:sz w:val="24"/>
                <w:szCs w:val="24"/>
              </w:rPr>
            </w:pPr>
            <w:r>
              <w:rPr>
                <w:rFonts w:hint="eastAsia" w:ascii="仿宋_GB2312" w:hAnsi="宋体" w:eastAsia="仿宋_GB2312" w:cs="Times New Roman"/>
                <w:sz w:val="24"/>
                <w:szCs w:val="24"/>
              </w:rPr>
              <w:t>对项目重点、难点的理解</w:t>
            </w:r>
          </w:p>
        </w:tc>
        <w:tc>
          <w:tcPr>
            <w:tcW w:w="705" w:type="dxa"/>
            <w:tcBorders>
              <w:top w:val="single" w:color="000000" w:sz="4" w:space="0"/>
              <w:left w:val="nil"/>
              <w:bottom w:val="single" w:color="000000" w:sz="4" w:space="0"/>
              <w:right w:val="single" w:color="000000" w:sz="8" w:space="0"/>
            </w:tcBorders>
            <w:shd w:val="clear" w:color="auto" w:fill="FFFFFF"/>
            <w:vAlign w:val="center"/>
          </w:tcPr>
          <w:p w14:paraId="7AC1F22B">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0</w:t>
            </w:r>
          </w:p>
        </w:tc>
        <w:tc>
          <w:tcPr>
            <w:tcW w:w="8467" w:type="dxa"/>
            <w:tcBorders>
              <w:top w:val="single" w:color="000000" w:sz="4" w:space="0"/>
              <w:left w:val="single" w:color="000000" w:sz="2" w:space="0"/>
              <w:bottom w:val="single" w:color="000000" w:sz="4" w:space="0"/>
              <w:right w:val="single" w:color="000000" w:sz="8" w:space="0"/>
            </w:tcBorders>
            <w:shd w:val="clear" w:color="auto" w:fill="FFFFFF"/>
            <w:vAlign w:val="center"/>
          </w:tcPr>
          <w:p w14:paraId="7853530A">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对项目建设背景及项目建设需求理解充分，对需求分析准确，对项目认识深入、需包含</w:t>
            </w:r>
            <w:r>
              <w:rPr>
                <w:rFonts w:hint="eastAsia" w:ascii="仿宋_GB2312" w:hAnsi="仿宋_GB2312" w:eastAsia="仿宋_GB2312" w:cs="仿宋_GB2312"/>
                <w:sz w:val="24"/>
                <w:szCs w:val="24"/>
                <w:lang w:eastAsia="zh-CN"/>
              </w:rPr>
              <w:t>：项目意义（</w:t>
            </w:r>
            <w:r>
              <w:rPr>
                <w:rFonts w:hint="eastAsia" w:ascii="仿宋_GB2312" w:hAnsi="仿宋_GB2312" w:eastAsia="仿宋_GB2312" w:cs="仿宋_GB2312"/>
                <w:sz w:val="24"/>
                <w:szCs w:val="24"/>
                <w:lang w:val="en-US" w:eastAsia="zh-CN"/>
              </w:rPr>
              <w:t>2分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业务需求（2分）、</w:t>
            </w:r>
            <w:r>
              <w:rPr>
                <w:rFonts w:hint="eastAsia" w:ascii="仿宋_GB2312" w:hAnsi="仿宋_GB2312" w:eastAsia="仿宋_GB2312" w:cs="仿宋_GB2312"/>
                <w:sz w:val="24"/>
                <w:szCs w:val="24"/>
                <w:lang w:eastAsia="zh-CN"/>
              </w:rPr>
              <w:t>宣传</w:t>
            </w:r>
            <w:r>
              <w:rPr>
                <w:rFonts w:hint="eastAsia" w:ascii="仿宋_GB2312" w:hAnsi="仿宋_GB2312" w:eastAsia="仿宋_GB2312" w:cs="仿宋_GB2312"/>
                <w:sz w:val="24"/>
                <w:szCs w:val="24"/>
              </w:rPr>
              <w:t>需求（2分）、</w:t>
            </w:r>
            <w:r>
              <w:rPr>
                <w:rFonts w:hint="eastAsia" w:ascii="仿宋_GB2312" w:hAnsi="仿宋_GB2312" w:eastAsia="仿宋_GB2312" w:cs="仿宋_GB2312"/>
                <w:sz w:val="24"/>
                <w:szCs w:val="24"/>
                <w:lang w:eastAsia="zh-CN"/>
              </w:rPr>
              <w:t>宣传效果</w:t>
            </w:r>
            <w:r>
              <w:rPr>
                <w:rFonts w:hint="eastAsia" w:ascii="仿宋_GB2312" w:hAnsi="仿宋_GB2312" w:eastAsia="仿宋_GB2312" w:cs="仿宋_GB2312"/>
                <w:sz w:val="24"/>
                <w:szCs w:val="24"/>
              </w:rPr>
              <w:t>需求（2分）、</w:t>
            </w:r>
            <w:r>
              <w:rPr>
                <w:rFonts w:hint="eastAsia" w:ascii="仿宋_GB2312" w:hAnsi="仿宋_GB2312" w:eastAsia="仿宋_GB2312" w:cs="仿宋_GB2312"/>
                <w:sz w:val="24"/>
                <w:szCs w:val="24"/>
                <w:lang w:eastAsia="zh-CN"/>
              </w:rPr>
              <w:t>项目管理</w:t>
            </w:r>
            <w:r>
              <w:rPr>
                <w:rFonts w:hint="eastAsia" w:ascii="仿宋_GB2312" w:hAnsi="仿宋_GB2312" w:eastAsia="仿宋_GB2312" w:cs="仿宋_GB2312"/>
                <w:sz w:val="24"/>
                <w:szCs w:val="24"/>
              </w:rPr>
              <w:t>需求（2分）。完全满足上述描述的得10分，</w:t>
            </w:r>
            <w:r>
              <w:rPr>
                <w:rFonts w:hint="eastAsia" w:ascii="仿宋_GB2312" w:hAnsi="仿宋_GB2312" w:eastAsia="仿宋_GB2312" w:cs="仿宋_GB2312"/>
                <w:sz w:val="24"/>
                <w:szCs w:val="24"/>
                <w:u w:val="single"/>
              </w:rPr>
              <w:t>有一项未阐述或不满足上述描述的</w:t>
            </w:r>
            <w:r>
              <w:rPr>
                <w:rFonts w:hint="eastAsia" w:ascii="仿宋_GB2312" w:hAnsi="仿宋_GB2312" w:eastAsia="仿宋_GB2312" w:cs="仿宋_GB2312"/>
                <w:b/>
                <w:bCs/>
                <w:sz w:val="24"/>
                <w:szCs w:val="24"/>
                <w:u w:val="single"/>
              </w:rPr>
              <w:t>扣2分</w:t>
            </w:r>
            <w:r>
              <w:rPr>
                <w:rFonts w:hint="eastAsia" w:ascii="仿宋_GB2312" w:hAnsi="仿宋_GB2312" w:eastAsia="仿宋_GB2312" w:cs="仿宋_GB2312"/>
                <w:sz w:val="24"/>
                <w:szCs w:val="24"/>
              </w:rPr>
              <w:t>，扣完为止。</w:t>
            </w:r>
          </w:p>
        </w:tc>
        <w:tc>
          <w:tcPr>
            <w:tcW w:w="795" w:type="dxa"/>
            <w:tcBorders>
              <w:top w:val="single" w:color="000000" w:sz="4" w:space="0"/>
              <w:left w:val="single" w:color="000000" w:sz="2" w:space="0"/>
              <w:bottom w:val="single" w:color="000000" w:sz="4" w:space="0"/>
              <w:right w:val="single" w:color="000000" w:sz="8" w:space="0"/>
            </w:tcBorders>
            <w:shd w:val="clear" w:color="auto" w:fill="FFFFFF"/>
            <w:vAlign w:val="center"/>
          </w:tcPr>
          <w:p w14:paraId="1C043E83">
            <w:pPr>
              <w:rPr>
                <w:rFonts w:hint="eastAsia" w:ascii="仿宋_GB2312" w:hAnsi="仿宋_GB2312" w:eastAsia="仿宋_GB2312" w:cs="仿宋_GB2312"/>
                <w:sz w:val="21"/>
                <w:szCs w:val="21"/>
              </w:rPr>
            </w:pPr>
          </w:p>
        </w:tc>
        <w:tc>
          <w:tcPr>
            <w:tcW w:w="2245" w:type="dxa"/>
            <w:tcBorders>
              <w:top w:val="single" w:color="000000" w:sz="4" w:space="0"/>
              <w:left w:val="single" w:color="000000" w:sz="2" w:space="0"/>
              <w:bottom w:val="single" w:color="000000" w:sz="4" w:space="0"/>
            </w:tcBorders>
            <w:shd w:val="clear" w:color="auto" w:fill="FFFFFF"/>
            <w:vAlign w:val="center"/>
          </w:tcPr>
          <w:p w14:paraId="4F463514">
            <w:pPr>
              <w:rPr>
                <w:rFonts w:hint="eastAsia" w:ascii="仿宋_GB2312" w:hAnsi="仿宋_GB2312" w:eastAsia="仿宋_GB2312" w:cs="仿宋_GB2312"/>
                <w:sz w:val="21"/>
                <w:szCs w:val="21"/>
              </w:rPr>
            </w:pPr>
          </w:p>
        </w:tc>
      </w:tr>
      <w:tr w14:paraId="2E275C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0" w:hRule="atLeast"/>
        </w:trPr>
        <w:tc>
          <w:tcPr>
            <w:tcW w:w="1313" w:type="dxa"/>
            <w:vMerge w:val="continue"/>
            <w:tcBorders>
              <w:top w:val="nil"/>
              <w:bottom w:val="single" w:color="000000" w:sz="4" w:space="0"/>
              <w:right w:val="single" w:color="000000" w:sz="8" w:space="0"/>
            </w:tcBorders>
            <w:shd w:val="clear" w:color="auto" w:fill="auto"/>
            <w:vAlign w:val="center"/>
          </w:tcPr>
          <w:p w14:paraId="50DB7631">
            <w:pPr>
              <w:keepNext w:val="0"/>
              <w:keepLines w:val="0"/>
              <w:pageBreakBefore w:val="0"/>
              <w:widowControl/>
              <w:kinsoku/>
              <w:wordWrap/>
              <w:overflowPunct/>
              <w:topLinePunct w:val="0"/>
              <w:autoSpaceDE/>
              <w:autoSpaceDN/>
              <w:bidi w:val="0"/>
              <w:adjustRightInd/>
              <w:snapToGrid/>
              <w:spacing w:line="380" w:lineRule="exact"/>
              <w:jc w:val="left"/>
              <w:textAlignment w:val="baseline"/>
              <w:rPr>
                <w:rFonts w:hint="eastAsia" w:ascii="仿宋_GB2312" w:hAnsi="宋体" w:eastAsia="仿宋_GB2312" w:cs="宋体"/>
                <w:sz w:val="24"/>
                <w:szCs w:val="24"/>
              </w:rPr>
            </w:pPr>
          </w:p>
        </w:tc>
        <w:tc>
          <w:tcPr>
            <w:tcW w:w="2070" w:type="dxa"/>
            <w:tcBorders>
              <w:top w:val="single" w:color="000000" w:sz="4" w:space="0"/>
              <w:left w:val="nil"/>
              <w:bottom w:val="single" w:color="000000" w:sz="4" w:space="0"/>
              <w:right w:val="single" w:color="000000" w:sz="8" w:space="0"/>
            </w:tcBorders>
            <w:shd w:val="clear" w:color="auto" w:fill="FFFFFF"/>
            <w:vAlign w:val="center"/>
          </w:tcPr>
          <w:p w14:paraId="24E5B307">
            <w:pPr>
              <w:keepNext w:val="0"/>
              <w:keepLines w:val="0"/>
              <w:pageBreakBefore w:val="0"/>
              <w:widowControl/>
              <w:kinsoku/>
              <w:wordWrap/>
              <w:overflowPunct/>
              <w:topLinePunct w:val="0"/>
              <w:autoSpaceDE/>
              <w:autoSpaceDN/>
              <w:bidi w:val="0"/>
              <w:adjustRightInd/>
              <w:snapToGrid/>
              <w:spacing w:line="320" w:lineRule="exact"/>
              <w:jc w:val="center"/>
              <w:textAlignment w:val="baseline"/>
              <w:rPr>
                <w:rFonts w:hint="eastAsia" w:ascii="仿宋_GB2312" w:hAnsi="宋体" w:eastAsia="仿宋_GB2312" w:cs="宋体"/>
                <w:sz w:val="24"/>
                <w:szCs w:val="24"/>
              </w:rPr>
            </w:pPr>
            <w:r>
              <w:rPr>
                <w:rFonts w:hint="eastAsia" w:ascii="仿宋_GB2312" w:hAnsi="宋体" w:eastAsia="仿宋_GB2312" w:cs="Times New Roman"/>
                <w:sz w:val="24"/>
                <w:szCs w:val="24"/>
              </w:rPr>
              <w:t>进度安排评价</w:t>
            </w:r>
          </w:p>
        </w:tc>
        <w:tc>
          <w:tcPr>
            <w:tcW w:w="705" w:type="dxa"/>
            <w:tcBorders>
              <w:top w:val="single" w:color="000000" w:sz="4" w:space="0"/>
              <w:left w:val="nil"/>
              <w:bottom w:val="single" w:color="000000" w:sz="4" w:space="0"/>
              <w:right w:val="single" w:color="000000" w:sz="8" w:space="0"/>
            </w:tcBorders>
            <w:shd w:val="clear" w:color="auto" w:fill="FFFFFF"/>
            <w:vAlign w:val="center"/>
          </w:tcPr>
          <w:p w14:paraId="21F84521">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8467" w:type="dxa"/>
            <w:tcBorders>
              <w:top w:val="single" w:color="000000" w:sz="4" w:space="0"/>
              <w:left w:val="single" w:color="000000" w:sz="2" w:space="0"/>
              <w:bottom w:val="single" w:color="000000" w:sz="4" w:space="0"/>
              <w:right w:val="single" w:color="000000" w:sz="8" w:space="0"/>
            </w:tcBorders>
            <w:shd w:val="clear" w:color="auto" w:fill="FFFFFF"/>
            <w:vAlign w:val="center"/>
          </w:tcPr>
          <w:p w14:paraId="23B528B5">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供应商需提供针对本项目的进度安排计划，本项内容满分</w:t>
            </w:r>
            <w:r>
              <w:rPr>
                <w:rFonts w:hint="eastAsia" w:ascii="仿宋_GB2312" w:hAnsi="仿宋_GB2312" w:eastAsia="仿宋_GB2312" w:cs="仿宋_GB2312"/>
                <w:sz w:val="24"/>
                <w:szCs w:val="24"/>
                <w:lang w:val="en-US" w:eastAsia="zh-CN"/>
              </w:rPr>
              <w:t>10分，内容进行了详细的论述且满足需求得10分，内容虽阐述但未贴合项目实际情况或内容未包括具体实施细节及措施得5分，内容未进行阐述或不满足遴选需求得0分。</w:t>
            </w:r>
          </w:p>
        </w:tc>
        <w:tc>
          <w:tcPr>
            <w:tcW w:w="795" w:type="dxa"/>
            <w:tcBorders>
              <w:top w:val="single" w:color="000000" w:sz="4" w:space="0"/>
              <w:left w:val="single" w:color="000000" w:sz="2" w:space="0"/>
              <w:bottom w:val="single" w:color="000000" w:sz="4" w:space="0"/>
              <w:right w:val="single" w:color="000000" w:sz="8" w:space="0"/>
            </w:tcBorders>
            <w:shd w:val="clear" w:color="auto" w:fill="FFFFFF"/>
            <w:vAlign w:val="center"/>
          </w:tcPr>
          <w:p w14:paraId="6073E711">
            <w:pPr>
              <w:rPr>
                <w:rFonts w:hint="eastAsia" w:ascii="仿宋_GB2312" w:hAnsi="仿宋_GB2312" w:eastAsia="仿宋_GB2312" w:cs="仿宋_GB2312"/>
                <w:sz w:val="21"/>
                <w:szCs w:val="21"/>
                <w:lang w:eastAsia="zh-CN"/>
              </w:rPr>
            </w:pPr>
          </w:p>
        </w:tc>
        <w:tc>
          <w:tcPr>
            <w:tcW w:w="2245" w:type="dxa"/>
            <w:tcBorders>
              <w:top w:val="single" w:color="000000" w:sz="4" w:space="0"/>
              <w:left w:val="single" w:color="000000" w:sz="2" w:space="0"/>
              <w:bottom w:val="single" w:color="000000" w:sz="4" w:space="0"/>
            </w:tcBorders>
            <w:shd w:val="clear" w:color="auto" w:fill="FFFFFF"/>
            <w:vAlign w:val="center"/>
          </w:tcPr>
          <w:p w14:paraId="23E4F1FB">
            <w:pPr>
              <w:rPr>
                <w:rFonts w:hint="eastAsia" w:ascii="仿宋_GB2312" w:hAnsi="仿宋_GB2312" w:eastAsia="仿宋_GB2312" w:cs="仿宋_GB2312"/>
                <w:sz w:val="21"/>
                <w:szCs w:val="21"/>
                <w:lang w:eastAsia="zh-CN"/>
              </w:rPr>
            </w:pPr>
          </w:p>
        </w:tc>
      </w:tr>
      <w:tr w14:paraId="16BEB2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0" w:hRule="atLeast"/>
        </w:trPr>
        <w:tc>
          <w:tcPr>
            <w:tcW w:w="1313" w:type="dxa"/>
            <w:vMerge w:val="continue"/>
            <w:tcBorders>
              <w:top w:val="nil"/>
              <w:bottom w:val="single" w:color="000000" w:sz="4" w:space="0"/>
              <w:right w:val="single" w:color="000000" w:sz="8" w:space="0"/>
            </w:tcBorders>
            <w:shd w:val="clear" w:color="auto" w:fill="auto"/>
            <w:vAlign w:val="center"/>
          </w:tcPr>
          <w:p w14:paraId="3F333650">
            <w:pPr>
              <w:keepNext w:val="0"/>
              <w:keepLines w:val="0"/>
              <w:pageBreakBefore w:val="0"/>
              <w:widowControl/>
              <w:kinsoku/>
              <w:wordWrap/>
              <w:overflowPunct/>
              <w:topLinePunct w:val="0"/>
              <w:autoSpaceDE/>
              <w:autoSpaceDN/>
              <w:bidi w:val="0"/>
              <w:adjustRightInd/>
              <w:snapToGrid/>
              <w:spacing w:line="380" w:lineRule="exact"/>
              <w:jc w:val="left"/>
              <w:textAlignment w:val="baseline"/>
              <w:rPr>
                <w:rFonts w:hint="eastAsia" w:ascii="仿宋_GB2312" w:hAnsi="宋体" w:eastAsia="仿宋_GB2312" w:cs="宋体"/>
                <w:sz w:val="24"/>
                <w:szCs w:val="24"/>
              </w:rPr>
            </w:pPr>
          </w:p>
        </w:tc>
        <w:tc>
          <w:tcPr>
            <w:tcW w:w="2070" w:type="dxa"/>
            <w:tcBorders>
              <w:top w:val="single" w:color="000000" w:sz="4" w:space="0"/>
              <w:left w:val="nil"/>
              <w:bottom w:val="single" w:color="000000" w:sz="4" w:space="0"/>
              <w:right w:val="single" w:color="000000" w:sz="8" w:space="0"/>
            </w:tcBorders>
            <w:shd w:val="clear" w:color="auto" w:fill="FFFFFF"/>
            <w:vAlign w:val="center"/>
          </w:tcPr>
          <w:p w14:paraId="4D5283CA">
            <w:pPr>
              <w:keepNext w:val="0"/>
              <w:keepLines w:val="0"/>
              <w:pageBreakBefore w:val="0"/>
              <w:widowControl/>
              <w:kinsoku/>
              <w:wordWrap/>
              <w:overflowPunct/>
              <w:topLinePunct w:val="0"/>
              <w:autoSpaceDE/>
              <w:autoSpaceDN/>
              <w:bidi w:val="0"/>
              <w:adjustRightInd/>
              <w:snapToGrid/>
              <w:spacing w:line="320" w:lineRule="exact"/>
              <w:jc w:val="center"/>
              <w:textAlignment w:val="baseline"/>
              <w:rPr>
                <w:rFonts w:hint="eastAsia" w:ascii="仿宋_GB2312" w:hAnsi="宋体" w:eastAsia="仿宋_GB2312" w:cs="宋体"/>
                <w:sz w:val="24"/>
                <w:szCs w:val="24"/>
              </w:rPr>
            </w:pPr>
            <w:r>
              <w:rPr>
                <w:rFonts w:hint="eastAsia" w:ascii="仿宋_GB2312" w:hAnsi="宋体" w:eastAsia="仿宋_GB2312" w:cs="Times New Roman"/>
                <w:sz w:val="24"/>
                <w:szCs w:val="24"/>
              </w:rPr>
              <w:t>在服务过程中配合、沟通方案评价</w:t>
            </w:r>
          </w:p>
        </w:tc>
        <w:tc>
          <w:tcPr>
            <w:tcW w:w="705" w:type="dxa"/>
            <w:tcBorders>
              <w:top w:val="single" w:color="000000" w:sz="4" w:space="0"/>
              <w:left w:val="nil"/>
              <w:bottom w:val="single" w:color="000000" w:sz="4" w:space="0"/>
              <w:right w:val="single" w:color="000000" w:sz="8" w:space="0"/>
            </w:tcBorders>
            <w:shd w:val="clear" w:color="auto" w:fill="FFFFFF"/>
            <w:vAlign w:val="center"/>
          </w:tcPr>
          <w:p w14:paraId="23FDCCA1">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10</w:t>
            </w:r>
          </w:p>
        </w:tc>
        <w:tc>
          <w:tcPr>
            <w:tcW w:w="8467" w:type="dxa"/>
            <w:tcBorders>
              <w:top w:val="single" w:color="000000" w:sz="4" w:space="0"/>
              <w:left w:val="single" w:color="000000" w:sz="2" w:space="0"/>
              <w:bottom w:val="single" w:color="000000" w:sz="4" w:space="0"/>
              <w:right w:val="single" w:color="000000" w:sz="8" w:space="0"/>
            </w:tcBorders>
            <w:shd w:val="clear" w:color="auto" w:fill="FFFFFF"/>
            <w:vAlign w:val="center"/>
          </w:tcPr>
          <w:p w14:paraId="10A1269D">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供应商须提供沟通机制，内容包括：①服务人员安排。②沟通方案，要求</w:t>
            </w:r>
            <w:r>
              <w:rPr>
                <w:rFonts w:hint="eastAsia" w:ascii="仿宋_GB2312" w:hAnsi="仿宋_GB2312" w:eastAsia="仿宋_GB2312" w:cs="仿宋_GB2312"/>
                <w:sz w:val="24"/>
                <w:szCs w:val="24"/>
              </w:rPr>
              <w:t>有专人定期沟通，配合</w:t>
            </w:r>
            <w:r>
              <w:rPr>
                <w:rFonts w:hint="eastAsia" w:ascii="仿宋_GB2312" w:hAnsi="仿宋_GB2312" w:eastAsia="仿宋_GB2312" w:cs="仿宋_GB2312"/>
                <w:sz w:val="24"/>
                <w:szCs w:val="24"/>
                <w:lang w:eastAsia="zh-CN"/>
              </w:rPr>
              <w:t>。满分</w:t>
            </w:r>
            <w:r>
              <w:rPr>
                <w:rFonts w:hint="eastAsia" w:ascii="仿宋_GB2312" w:hAnsi="仿宋_GB2312" w:eastAsia="仿宋_GB2312" w:cs="仿宋_GB2312"/>
                <w:sz w:val="24"/>
                <w:szCs w:val="24"/>
                <w:lang w:val="en-US" w:eastAsia="zh-CN"/>
              </w:rPr>
              <w:t>10分，内容进行了详细的论述且满足需求得10分，内容虽阐述但未贴合项目实际情况或内容未包括具体实施细节及措施得5分，内容未进行阐述或不满足需求得0分</w:t>
            </w:r>
          </w:p>
        </w:tc>
        <w:tc>
          <w:tcPr>
            <w:tcW w:w="795" w:type="dxa"/>
            <w:tcBorders>
              <w:top w:val="single" w:color="000000" w:sz="4" w:space="0"/>
              <w:left w:val="single" w:color="000000" w:sz="2" w:space="0"/>
              <w:bottom w:val="single" w:color="000000" w:sz="4" w:space="0"/>
              <w:right w:val="single" w:color="000000" w:sz="8" w:space="0"/>
            </w:tcBorders>
            <w:shd w:val="clear" w:color="auto" w:fill="FFFFFF"/>
            <w:vAlign w:val="center"/>
          </w:tcPr>
          <w:p w14:paraId="73B30DF6">
            <w:pPr>
              <w:rPr>
                <w:rFonts w:hint="eastAsia" w:ascii="仿宋_GB2312" w:hAnsi="仿宋_GB2312" w:eastAsia="仿宋_GB2312" w:cs="仿宋_GB2312"/>
                <w:sz w:val="21"/>
                <w:szCs w:val="21"/>
                <w:lang w:eastAsia="zh-CN"/>
              </w:rPr>
            </w:pPr>
          </w:p>
        </w:tc>
        <w:tc>
          <w:tcPr>
            <w:tcW w:w="2245" w:type="dxa"/>
            <w:tcBorders>
              <w:top w:val="single" w:color="000000" w:sz="4" w:space="0"/>
              <w:left w:val="single" w:color="000000" w:sz="2" w:space="0"/>
              <w:bottom w:val="single" w:color="000000" w:sz="4" w:space="0"/>
            </w:tcBorders>
            <w:shd w:val="clear" w:color="auto" w:fill="FFFFFF"/>
            <w:vAlign w:val="center"/>
          </w:tcPr>
          <w:p w14:paraId="0637F104">
            <w:pPr>
              <w:rPr>
                <w:rFonts w:hint="eastAsia" w:ascii="仿宋_GB2312" w:hAnsi="仿宋_GB2312" w:eastAsia="仿宋_GB2312" w:cs="仿宋_GB2312"/>
                <w:sz w:val="21"/>
                <w:szCs w:val="21"/>
                <w:lang w:eastAsia="zh-CN"/>
              </w:rPr>
            </w:pPr>
          </w:p>
        </w:tc>
      </w:tr>
      <w:tr w14:paraId="011235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1313" w:type="dxa"/>
            <w:vMerge w:val="continue"/>
            <w:tcBorders>
              <w:top w:val="nil"/>
              <w:bottom w:val="single" w:color="auto" w:sz="4" w:space="0"/>
              <w:right w:val="single" w:color="000000" w:sz="8" w:space="0"/>
            </w:tcBorders>
            <w:shd w:val="clear" w:color="auto" w:fill="auto"/>
            <w:vAlign w:val="center"/>
          </w:tcPr>
          <w:p w14:paraId="7EE1A0DB">
            <w:pPr>
              <w:keepNext w:val="0"/>
              <w:keepLines w:val="0"/>
              <w:pageBreakBefore w:val="0"/>
              <w:widowControl/>
              <w:kinsoku/>
              <w:wordWrap/>
              <w:overflowPunct/>
              <w:topLinePunct w:val="0"/>
              <w:autoSpaceDE/>
              <w:autoSpaceDN/>
              <w:bidi w:val="0"/>
              <w:adjustRightInd/>
              <w:snapToGrid/>
              <w:spacing w:line="380" w:lineRule="exact"/>
              <w:jc w:val="left"/>
              <w:textAlignment w:val="baseline"/>
              <w:rPr>
                <w:rFonts w:hint="eastAsia" w:ascii="仿宋_GB2312" w:hAnsi="宋体" w:eastAsia="仿宋_GB2312" w:cs="宋体"/>
                <w:sz w:val="24"/>
                <w:szCs w:val="24"/>
              </w:rPr>
            </w:pPr>
          </w:p>
        </w:tc>
        <w:tc>
          <w:tcPr>
            <w:tcW w:w="2070" w:type="dxa"/>
            <w:tcBorders>
              <w:top w:val="single" w:color="000000" w:sz="4" w:space="0"/>
              <w:left w:val="nil"/>
              <w:bottom w:val="single" w:color="auto" w:sz="4" w:space="0"/>
              <w:right w:val="single" w:color="000000" w:sz="8" w:space="0"/>
            </w:tcBorders>
            <w:shd w:val="clear" w:color="auto" w:fill="FFFFFF"/>
            <w:vAlign w:val="center"/>
          </w:tcPr>
          <w:p w14:paraId="2BDBF606">
            <w:pPr>
              <w:keepNext w:val="0"/>
              <w:keepLines w:val="0"/>
              <w:pageBreakBefore w:val="0"/>
              <w:widowControl/>
              <w:kinsoku/>
              <w:wordWrap/>
              <w:overflowPunct/>
              <w:topLinePunct w:val="0"/>
              <w:autoSpaceDE/>
              <w:autoSpaceDN/>
              <w:bidi w:val="0"/>
              <w:adjustRightInd/>
              <w:snapToGrid/>
              <w:spacing w:line="320" w:lineRule="exact"/>
              <w:jc w:val="center"/>
              <w:textAlignment w:val="baseline"/>
              <w:rPr>
                <w:rFonts w:hint="eastAsia" w:ascii="仿宋_GB2312" w:hAnsi="宋体" w:eastAsia="仿宋_GB2312" w:cs="宋体"/>
                <w:sz w:val="24"/>
                <w:szCs w:val="24"/>
              </w:rPr>
            </w:pPr>
            <w:r>
              <w:rPr>
                <w:rFonts w:hint="eastAsia" w:ascii="仿宋_GB2312" w:hAnsi="宋体" w:eastAsia="仿宋_GB2312" w:cs="Times New Roman"/>
                <w:sz w:val="24"/>
                <w:szCs w:val="24"/>
              </w:rPr>
              <w:t>结合本项目的实际情况，提供的合理化建议评价</w:t>
            </w:r>
          </w:p>
        </w:tc>
        <w:tc>
          <w:tcPr>
            <w:tcW w:w="705" w:type="dxa"/>
            <w:tcBorders>
              <w:top w:val="single" w:color="000000" w:sz="4" w:space="0"/>
              <w:left w:val="nil"/>
              <w:bottom w:val="single" w:color="auto" w:sz="4" w:space="0"/>
              <w:right w:val="single" w:color="000000" w:sz="8" w:space="0"/>
            </w:tcBorders>
            <w:shd w:val="clear" w:color="auto" w:fill="FFFFFF"/>
            <w:vAlign w:val="center"/>
          </w:tcPr>
          <w:p w14:paraId="2788FD24">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10</w:t>
            </w:r>
          </w:p>
        </w:tc>
        <w:tc>
          <w:tcPr>
            <w:tcW w:w="8467" w:type="dxa"/>
            <w:tcBorders>
              <w:top w:val="single" w:color="000000" w:sz="4" w:space="0"/>
              <w:left w:val="single" w:color="000000" w:sz="2" w:space="0"/>
              <w:bottom w:val="single" w:color="auto" w:sz="4" w:space="0"/>
              <w:right w:val="single" w:color="000000" w:sz="8" w:space="0"/>
            </w:tcBorders>
            <w:shd w:val="clear" w:color="auto" w:fill="FFFFFF"/>
            <w:vAlign w:val="center"/>
          </w:tcPr>
          <w:p w14:paraId="32C6D7E3">
            <w:pPr>
              <w:keepNext w:val="0"/>
              <w:keepLines w:val="0"/>
              <w:pageBreakBefore w:val="0"/>
              <w:widowControl/>
              <w:kinsoku/>
              <w:wordWrap/>
              <w:overflowPunct/>
              <w:topLinePunct w:val="0"/>
              <w:autoSpaceDE/>
              <w:autoSpaceDN/>
              <w:bidi w:val="0"/>
              <w:adjustRightInd/>
              <w:snapToGrid/>
              <w:spacing w:line="360" w:lineRule="exact"/>
              <w:textAlignment w:val="baseline"/>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供应商须针对本项目提供合理化建议，本项内容满分</w:t>
            </w:r>
            <w:r>
              <w:rPr>
                <w:rFonts w:hint="eastAsia" w:ascii="仿宋_GB2312" w:hAnsi="仿宋_GB2312" w:eastAsia="仿宋_GB2312" w:cs="仿宋_GB2312"/>
                <w:sz w:val="24"/>
                <w:szCs w:val="24"/>
                <w:lang w:val="en-US" w:eastAsia="zh-CN"/>
              </w:rPr>
              <w:t>10分，建议需具有可操作性，每提供一条建议得2分，满分10分。</w:t>
            </w:r>
          </w:p>
        </w:tc>
        <w:tc>
          <w:tcPr>
            <w:tcW w:w="795" w:type="dxa"/>
            <w:tcBorders>
              <w:top w:val="single" w:color="000000" w:sz="4" w:space="0"/>
              <w:left w:val="single" w:color="000000" w:sz="2" w:space="0"/>
              <w:bottom w:val="single" w:color="000000" w:sz="4" w:space="0"/>
              <w:right w:val="single" w:color="000000" w:sz="8" w:space="0"/>
            </w:tcBorders>
            <w:shd w:val="clear" w:color="auto" w:fill="FFFFFF"/>
            <w:vAlign w:val="center"/>
          </w:tcPr>
          <w:p w14:paraId="6EA7A3C7">
            <w:pPr>
              <w:rPr>
                <w:rFonts w:hint="eastAsia" w:ascii="仿宋_GB2312" w:hAnsi="仿宋_GB2312" w:eastAsia="仿宋_GB2312" w:cs="仿宋_GB2312"/>
                <w:sz w:val="21"/>
                <w:szCs w:val="21"/>
                <w:lang w:eastAsia="zh-CN"/>
              </w:rPr>
            </w:pPr>
          </w:p>
        </w:tc>
        <w:tc>
          <w:tcPr>
            <w:tcW w:w="2245" w:type="dxa"/>
            <w:tcBorders>
              <w:top w:val="single" w:color="000000" w:sz="4" w:space="0"/>
              <w:left w:val="single" w:color="000000" w:sz="2" w:space="0"/>
              <w:bottom w:val="single" w:color="000000" w:sz="4" w:space="0"/>
            </w:tcBorders>
            <w:shd w:val="clear" w:color="auto" w:fill="FFFFFF"/>
            <w:vAlign w:val="center"/>
          </w:tcPr>
          <w:p w14:paraId="132604A6">
            <w:pPr>
              <w:rPr>
                <w:rFonts w:hint="eastAsia" w:ascii="仿宋_GB2312" w:hAnsi="仿宋_GB2312" w:eastAsia="仿宋_GB2312" w:cs="仿宋_GB2312"/>
                <w:sz w:val="21"/>
                <w:szCs w:val="21"/>
                <w:lang w:eastAsia="zh-CN"/>
              </w:rPr>
            </w:pPr>
          </w:p>
        </w:tc>
      </w:tr>
      <w:tr w14:paraId="7A021C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1313" w:type="dxa"/>
            <w:vMerge w:val="restart"/>
            <w:tcBorders>
              <w:top w:val="nil"/>
              <w:bottom w:val="single" w:color="auto" w:sz="4" w:space="0"/>
              <w:right w:val="single" w:color="000000" w:sz="8" w:space="0"/>
            </w:tcBorders>
            <w:shd w:val="clear" w:color="auto" w:fill="auto"/>
            <w:vAlign w:val="center"/>
          </w:tcPr>
          <w:p w14:paraId="56C0911C">
            <w:pPr>
              <w:keepNext w:val="0"/>
              <w:keepLines w:val="0"/>
              <w:pageBreakBefore w:val="0"/>
              <w:widowControl/>
              <w:kinsoku/>
              <w:wordWrap/>
              <w:overflowPunct/>
              <w:topLinePunct w:val="0"/>
              <w:autoSpaceDE/>
              <w:autoSpaceDN/>
              <w:bidi w:val="0"/>
              <w:adjustRightInd/>
              <w:snapToGrid/>
              <w:spacing w:line="380" w:lineRule="exact"/>
              <w:jc w:val="center"/>
              <w:textAlignment w:val="baseline"/>
              <w:rPr>
                <w:rFonts w:hint="eastAsia" w:ascii="仿宋_GB2312" w:hAnsi="宋体" w:eastAsia="仿宋_GB2312" w:cs="宋体"/>
                <w:sz w:val="24"/>
                <w:szCs w:val="24"/>
              </w:rPr>
            </w:pPr>
            <w:r>
              <w:rPr>
                <w:rFonts w:hint="eastAsia" w:ascii="仿宋_GB2312" w:hAnsi="宋体" w:eastAsia="仿宋_GB2312" w:cs="Times New Roman"/>
                <w:sz w:val="24"/>
                <w:szCs w:val="24"/>
              </w:rPr>
              <w:t>商务部分</w:t>
            </w:r>
            <w:r>
              <w:rPr>
                <w:rFonts w:hint="eastAsia" w:ascii="仿宋_GB2312" w:hAnsi="宋体" w:eastAsia="仿宋_GB2312" w:cs="Times New Roman"/>
                <w:sz w:val="24"/>
                <w:szCs w:val="24"/>
                <w:lang w:eastAsia="zh-CN"/>
              </w:rPr>
              <w:t>（</w:t>
            </w:r>
            <w:r>
              <w:rPr>
                <w:rFonts w:hint="eastAsia" w:ascii="仿宋_GB2312" w:hAnsi="宋体" w:eastAsia="仿宋_GB2312" w:cs="Times New Roman"/>
                <w:sz w:val="24"/>
                <w:szCs w:val="24"/>
                <w:lang w:val="en-US" w:eastAsia="zh-CN"/>
              </w:rPr>
              <w:t>20分</w:t>
            </w:r>
            <w:r>
              <w:rPr>
                <w:rFonts w:hint="eastAsia" w:ascii="仿宋_GB2312" w:hAnsi="宋体" w:eastAsia="仿宋_GB2312" w:cs="Times New Roman"/>
                <w:sz w:val="24"/>
                <w:szCs w:val="24"/>
                <w:lang w:eastAsia="zh-CN"/>
              </w:rPr>
              <w:t>）</w:t>
            </w:r>
          </w:p>
        </w:tc>
        <w:tc>
          <w:tcPr>
            <w:tcW w:w="2070" w:type="dxa"/>
            <w:tcBorders>
              <w:top w:val="single" w:color="000000" w:sz="4" w:space="0"/>
              <w:left w:val="nil"/>
              <w:bottom w:val="single" w:color="auto" w:sz="4" w:space="0"/>
              <w:right w:val="single" w:color="000000" w:sz="8" w:space="0"/>
            </w:tcBorders>
            <w:shd w:val="clear" w:color="auto" w:fill="FFFFFF"/>
            <w:vAlign w:val="center"/>
          </w:tcPr>
          <w:p w14:paraId="14870E0C">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仿宋_GB2312" w:hAnsi="宋体" w:eastAsia="仿宋_GB2312" w:cs="Times New Roman"/>
                <w:sz w:val="24"/>
                <w:szCs w:val="24"/>
              </w:rPr>
            </w:pPr>
            <w:r>
              <w:rPr>
                <w:rFonts w:hint="eastAsia" w:ascii="仿宋_GB2312" w:hAnsi="宋体" w:eastAsia="仿宋_GB2312" w:cs="Times New Roman"/>
                <w:sz w:val="24"/>
                <w:szCs w:val="24"/>
              </w:rPr>
              <w:t>承担类似项目业绩</w:t>
            </w:r>
          </w:p>
        </w:tc>
        <w:tc>
          <w:tcPr>
            <w:tcW w:w="705" w:type="dxa"/>
            <w:tcBorders>
              <w:top w:val="single" w:color="000000" w:sz="4" w:space="0"/>
              <w:left w:val="nil"/>
              <w:bottom w:val="single" w:color="auto" w:sz="4" w:space="0"/>
              <w:right w:val="single" w:color="000000" w:sz="8" w:space="0"/>
            </w:tcBorders>
            <w:shd w:val="clear" w:color="auto" w:fill="FFFFFF"/>
            <w:vAlign w:val="center"/>
          </w:tcPr>
          <w:p w14:paraId="66A4C023">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10</w:t>
            </w:r>
          </w:p>
        </w:tc>
        <w:tc>
          <w:tcPr>
            <w:tcW w:w="8467" w:type="dxa"/>
            <w:tcBorders>
              <w:top w:val="single" w:color="000000" w:sz="4" w:space="0"/>
              <w:left w:val="single" w:color="000000" w:sz="2" w:space="0"/>
              <w:bottom w:val="single" w:color="auto" w:sz="4" w:space="0"/>
              <w:right w:val="single" w:color="000000" w:sz="8" w:space="0"/>
            </w:tcBorders>
            <w:shd w:val="clear" w:color="auto" w:fill="FFFFFF"/>
            <w:vAlign w:val="center"/>
          </w:tcPr>
          <w:p w14:paraId="566A3582">
            <w:pPr>
              <w:spacing w:line="360" w:lineRule="exac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根据</w:t>
            </w:r>
            <w:r>
              <w:rPr>
                <w:rFonts w:hint="eastAsia" w:ascii="仿宋_GB2312" w:hAnsi="仿宋_GB2312" w:eastAsia="仿宋_GB2312" w:cs="仿宋_GB2312"/>
                <w:kern w:val="0"/>
                <w:sz w:val="24"/>
                <w:szCs w:val="24"/>
                <w:lang w:eastAsia="zh-CN"/>
              </w:rPr>
              <w:t>供应商</w:t>
            </w:r>
            <w:r>
              <w:rPr>
                <w:rFonts w:hint="eastAsia" w:ascii="仿宋_GB2312" w:hAnsi="仿宋_GB2312" w:eastAsia="仿宋_GB2312" w:cs="仿宋_GB2312"/>
                <w:kern w:val="0"/>
                <w:sz w:val="24"/>
                <w:szCs w:val="24"/>
                <w:lang w:val="en-US" w:eastAsia="zh-CN"/>
              </w:rPr>
              <w:t>在</w:t>
            </w:r>
            <w:r>
              <w:rPr>
                <w:rFonts w:hint="eastAsia" w:ascii="仿宋_GB2312" w:hAnsi="仿宋_GB2312" w:eastAsia="仿宋_GB2312" w:cs="仿宋_GB2312"/>
                <w:kern w:val="0"/>
                <w:sz w:val="24"/>
                <w:szCs w:val="24"/>
              </w:rPr>
              <w:t>本</w:t>
            </w:r>
            <w:r>
              <w:rPr>
                <w:rFonts w:hint="eastAsia" w:ascii="仿宋_GB2312" w:hAnsi="仿宋_GB2312" w:eastAsia="仿宋_GB2312" w:cs="仿宋_GB2312"/>
                <w:kern w:val="0"/>
                <w:sz w:val="24"/>
                <w:szCs w:val="24"/>
                <w:lang w:eastAsia="zh-CN"/>
              </w:rPr>
              <w:t>遴选</w:t>
            </w:r>
            <w:r>
              <w:rPr>
                <w:rFonts w:hint="eastAsia" w:ascii="仿宋_GB2312" w:hAnsi="仿宋_GB2312" w:eastAsia="仿宋_GB2312" w:cs="仿宋_GB2312"/>
                <w:kern w:val="0"/>
                <w:sz w:val="24"/>
                <w:szCs w:val="24"/>
              </w:rPr>
              <w:t>公告发布前，</w:t>
            </w:r>
            <w:r>
              <w:rPr>
                <w:rFonts w:hint="eastAsia" w:ascii="仿宋_GB2312" w:hAnsi="仿宋_GB2312" w:eastAsia="仿宋_GB2312" w:cs="仿宋_GB2312"/>
                <w:kern w:val="0"/>
                <w:sz w:val="24"/>
                <w:szCs w:val="24"/>
                <w:lang w:val="en-US" w:eastAsia="zh-CN"/>
              </w:rPr>
              <w:t>既往</w:t>
            </w:r>
            <w:r>
              <w:rPr>
                <w:rFonts w:hint="eastAsia" w:ascii="仿宋_GB2312" w:hAnsi="仿宋_GB2312" w:eastAsia="仿宋_GB2312" w:cs="仿宋_GB2312"/>
                <w:kern w:val="0"/>
                <w:sz w:val="24"/>
                <w:szCs w:val="24"/>
              </w:rPr>
              <w:t>承担与本项目类似的项目业绩进行评价</w:t>
            </w:r>
            <w:r>
              <w:rPr>
                <w:rFonts w:hint="eastAsia" w:ascii="仿宋_GB2312" w:hAnsi="仿宋_GB2312" w:eastAsia="仿宋_GB2312" w:cs="仿宋_GB2312"/>
                <w:kern w:val="0"/>
                <w:sz w:val="24"/>
                <w:szCs w:val="24"/>
                <w:lang w:eastAsia="zh-CN"/>
              </w:rPr>
              <w:t>。</w:t>
            </w:r>
          </w:p>
          <w:p w14:paraId="2BEE458F">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每承接1个</w:t>
            </w:r>
            <w:r>
              <w:rPr>
                <w:rFonts w:hint="eastAsia" w:ascii="仿宋_GB2312" w:hAnsi="仿宋_GB2312" w:eastAsia="仿宋_GB2312" w:cs="仿宋_GB2312"/>
                <w:kern w:val="0"/>
                <w:sz w:val="24"/>
                <w:szCs w:val="24"/>
                <w:lang w:eastAsia="zh-CN"/>
              </w:rPr>
              <w:t>类似规模的项目业绩得</w:t>
            </w:r>
            <w:r>
              <w:rPr>
                <w:rFonts w:hint="eastAsia" w:ascii="仿宋_GB2312" w:hAnsi="仿宋_GB2312" w:eastAsia="仿宋_GB2312" w:cs="仿宋_GB2312"/>
                <w:kern w:val="0"/>
                <w:sz w:val="24"/>
                <w:szCs w:val="24"/>
                <w:lang w:val="en-US" w:eastAsia="zh-CN"/>
              </w:rPr>
              <w:t>2分，</w:t>
            </w:r>
            <w:r>
              <w:rPr>
                <w:rFonts w:hint="eastAsia" w:ascii="仿宋_GB2312" w:hAnsi="仿宋_GB2312" w:eastAsia="仿宋_GB2312" w:cs="仿宋_GB2312"/>
                <w:kern w:val="0"/>
                <w:sz w:val="24"/>
                <w:szCs w:val="24"/>
                <w:lang w:eastAsia="zh-CN"/>
              </w:rPr>
              <w:t>最多得</w:t>
            </w:r>
            <w:r>
              <w:rPr>
                <w:rFonts w:hint="eastAsia" w:ascii="仿宋_GB2312" w:hAnsi="仿宋_GB2312" w:eastAsia="仿宋_GB2312" w:cs="仿宋_GB2312"/>
                <w:kern w:val="0"/>
                <w:sz w:val="24"/>
                <w:szCs w:val="24"/>
              </w:rPr>
              <w:t>10分。注：</w:t>
            </w:r>
            <w:r>
              <w:rPr>
                <w:rFonts w:hint="eastAsia" w:ascii="仿宋_GB2312" w:hAnsi="仿宋_GB2312" w:eastAsia="仿宋_GB2312" w:cs="仿宋_GB2312"/>
                <w:kern w:val="0"/>
                <w:sz w:val="24"/>
                <w:szCs w:val="24"/>
                <w:lang w:eastAsia="zh-CN"/>
              </w:rPr>
              <w:t>供应商</w:t>
            </w:r>
            <w:r>
              <w:rPr>
                <w:rFonts w:hint="eastAsia" w:ascii="仿宋_GB2312" w:hAnsi="仿宋_GB2312" w:eastAsia="仿宋_GB2312" w:cs="仿宋_GB2312"/>
                <w:kern w:val="0"/>
                <w:sz w:val="24"/>
                <w:szCs w:val="24"/>
              </w:rPr>
              <w:t>需提供项目合同复印件（至少应包括合同首页、内容页、签字盖章页）作为证明业绩证明材料，如未提供业绩证明材料或提供的材料不齐全的，业绩将不予认可</w:t>
            </w:r>
            <w:r>
              <w:rPr>
                <w:rFonts w:hint="eastAsia" w:ascii="仿宋_GB2312" w:hAnsi="仿宋_GB2312" w:eastAsia="仿宋_GB2312" w:cs="仿宋_GB2312"/>
                <w:kern w:val="0"/>
                <w:sz w:val="24"/>
                <w:szCs w:val="24"/>
                <w:lang w:eastAsia="zh-CN"/>
              </w:rPr>
              <w:t>。</w:t>
            </w:r>
          </w:p>
        </w:tc>
        <w:tc>
          <w:tcPr>
            <w:tcW w:w="795" w:type="dxa"/>
            <w:tcBorders>
              <w:top w:val="single" w:color="000000" w:sz="4" w:space="0"/>
              <w:left w:val="single" w:color="000000" w:sz="2" w:space="0"/>
              <w:bottom w:val="single" w:color="000000" w:sz="4" w:space="0"/>
              <w:right w:val="single" w:color="000000" w:sz="8" w:space="0"/>
            </w:tcBorders>
            <w:shd w:val="clear" w:color="auto" w:fill="FFFFFF"/>
            <w:vAlign w:val="center"/>
          </w:tcPr>
          <w:p w14:paraId="08D75FAA">
            <w:pPr>
              <w:rPr>
                <w:rFonts w:hint="eastAsia" w:ascii="仿宋_GB2312" w:hAnsi="仿宋_GB2312" w:eastAsia="仿宋_GB2312" w:cs="仿宋_GB2312"/>
                <w:sz w:val="21"/>
                <w:szCs w:val="21"/>
                <w:lang w:eastAsia="zh-CN"/>
              </w:rPr>
            </w:pPr>
          </w:p>
        </w:tc>
        <w:tc>
          <w:tcPr>
            <w:tcW w:w="2245" w:type="dxa"/>
            <w:tcBorders>
              <w:top w:val="single" w:color="000000" w:sz="4" w:space="0"/>
              <w:left w:val="single" w:color="000000" w:sz="2" w:space="0"/>
              <w:bottom w:val="single" w:color="000000" w:sz="4" w:space="0"/>
            </w:tcBorders>
            <w:shd w:val="clear" w:color="auto" w:fill="FFFFFF"/>
            <w:vAlign w:val="center"/>
          </w:tcPr>
          <w:p w14:paraId="67908CAE">
            <w:pPr>
              <w:rPr>
                <w:rFonts w:hint="eastAsia" w:ascii="仿宋_GB2312" w:hAnsi="仿宋_GB2312" w:eastAsia="仿宋_GB2312" w:cs="仿宋_GB2312"/>
                <w:sz w:val="21"/>
                <w:szCs w:val="21"/>
                <w:lang w:eastAsia="zh-CN"/>
              </w:rPr>
            </w:pPr>
          </w:p>
        </w:tc>
      </w:tr>
      <w:tr w14:paraId="2306A6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1313" w:type="dxa"/>
            <w:vMerge w:val="continue"/>
            <w:tcBorders>
              <w:top w:val="nil"/>
              <w:bottom w:val="single" w:color="auto" w:sz="4" w:space="0"/>
              <w:right w:val="single" w:color="000000" w:sz="8" w:space="0"/>
            </w:tcBorders>
            <w:shd w:val="clear" w:color="auto" w:fill="auto"/>
            <w:vAlign w:val="center"/>
          </w:tcPr>
          <w:p w14:paraId="6B35BBE8">
            <w:pPr>
              <w:keepNext w:val="0"/>
              <w:keepLines w:val="0"/>
              <w:pageBreakBefore w:val="0"/>
              <w:widowControl/>
              <w:kinsoku/>
              <w:wordWrap/>
              <w:overflowPunct/>
              <w:topLinePunct w:val="0"/>
              <w:autoSpaceDE/>
              <w:autoSpaceDN/>
              <w:bidi w:val="0"/>
              <w:adjustRightInd/>
              <w:snapToGrid/>
              <w:spacing w:line="380" w:lineRule="exact"/>
              <w:jc w:val="left"/>
              <w:textAlignment w:val="baseline"/>
              <w:rPr>
                <w:rFonts w:hint="eastAsia" w:ascii="仿宋_GB2312" w:hAnsi="宋体" w:eastAsia="仿宋_GB2312" w:cs="宋体"/>
                <w:sz w:val="24"/>
                <w:szCs w:val="24"/>
              </w:rPr>
            </w:pPr>
          </w:p>
        </w:tc>
        <w:tc>
          <w:tcPr>
            <w:tcW w:w="2070" w:type="dxa"/>
            <w:tcBorders>
              <w:top w:val="single" w:color="000000" w:sz="4" w:space="0"/>
              <w:left w:val="nil"/>
              <w:bottom w:val="single" w:color="auto" w:sz="4" w:space="0"/>
              <w:right w:val="single" w:color="000000" w:sz="8" w:space="0"/>
            </w:tcBorders>
            <w:shd w:val="clear" w:color="auto" w:fill="FFFFFF"/>
            <w:vAlign w:val="center"/>
          </w:tcPr>
          <w:p w14:paraId="34ECD0A3">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仿宋_GB2312" w:hAnsi="宋体" w:eastAsia="仿宋_GB2312" w:cs="Times New Roman"/>
                <w:sz w:val="24"/>
                <w:szCs w:val="24"/>
              </w:rPr>
            </w:pPr>
            <w:r>
              <w:rPr>
                <w:rFonts w:hint="eastAsia" w:ascii="仿宋_GB2312" w:hAnsi="宋体" w:eastAsia="仿宋_GB2312" w:cs="Times New Roman"/>
                <w:sz w:val="24"/>
                <w:szCs w:val="24"/>
              </w:rPr>
              <w:t>项目人员配备</w:t>
            </w:r>
          </w:p>
        </w:tc>
        <w:tc>
          <w:tcPr>
            <w:tcW w:w="705" w:type="dxa"/>
            <w:tcBorders>
              <w:top w:val="single" w:color="000000" w:sz="4" w:space="0"/>
              <w:left w:val="nil"/>
              <w:bottom w:val="single" w:color="auto" w:sz="4" w:space="0"/>
              <w:right w:val="single" w:color="000000" w:sz="8" w:space="0"/>
            </w:tcBorders>
            <w:shd w:val="clear" w:color="auto" w:fill="FFFFFF"/>
            <w:vAlign w:val="center"/>
          </w:tcPr>
          <w:p w14:paraId="3E70E36C">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8467" w:type="dxa"/>
            <w:tcBorders>
              <w:top w:val="single" w:color="000000" w:sz="4" w:space="0"/>
              <w:left w:val="single" w:color="000000" w:sz="2" w:space="0"/>
              <w:bottom w:val="single" w:color="auto" w:sz="4" w:space="0"/>
              <w:right w:val="single" w:color="000000" w:sz="8" w:space="0"/>
            </w:tcBorders>
            <w:shd w:val="clear" w:color="auto" w:fill="FFFFFF"/>
            <w:vAlign w:val="center"/>
          </w:tcPr>
          <w:p w14:paraId="6DBC813F">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拟投入本项目团队主要成员情况及参与过相关项目的资料，需提供人员名册，必须保证后续参与该项工作。</w:t>
            </w:r>
          </w:p>
          <w:p w14:paraId="43F0DF30">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（横向比较，最优得4分、较好得2分、一般得1分、较差得0分）</w:t>
            </w:r>
            <w:r>
              <w:rPr>
                <w:rFonts w:hint="eastAsia" w:ascii="仿宋_GB2312" w:hAnsi="仿宋_GB2312" w:eastAsia="仿宋_GB2312" w:cs="仿宋_GB2312"/>
                <w:sz w:val="24"/>
                <w:szCs w:val="24"/>
                <w:lang w:eastAsia="zh-CN"/>
              </w:rPr>
              <w:t>。</w:t>
            </w:r>
          </w:p>
        </w:tc>
        <w:tc>
          <w:tcPr>
            <w:tcW w:w="795" w:type="dxa"/>
            <w:tcBorders>
              <w:top w:val="single" w:color="000000" w:sz="4" w:space="0"/>
              <w:left w:val="single" w:color="000000" w:sz="2" w:space="0"/>
              <w:bottom w:val="single" w:color="000000" w:sz="4" w:space="0"/>
              <w:right w:val="single" w:color="000000" w:sz="8" w:space="0"/>
            </w:tcBorders>
            <w:shd w:val="clear" w:color="auto" w:fill="FFFFFF"/>
            <w:vAlign w:val="center"/>
          </w:tcPr>
          <w:p w14:paraId="133FD5E3">
            <w:pPr>
              <w:rPr>
                <w:rFonts w:hint="eastAsia" w:ascii="仿宋_GB2312" w:hAnsi="仿宋_GB2312" w:eastAsia="仿宋_GB2312" w:cs="仿宋_GB2312"/>
                <w:sz w:val="21"/>
                <w:szCs w:val="21"/>
                <w:lang w:eastAsia="zh-CN"/>
              </w:rPr>
            </w:pPr>
          </w:p>
        </w:tc>
        <w:tc>
          <w:tcPr>
            <w:tcW w:w="2245" w:type="dxa"/>
            <w:tcBorders>
              <w:top w:val="single" w:color="000000" w:sz="4" w:space="0"/>
              <w:left w:val="single" w:color="000000" w:sz="2" w:space="0"/>
              <w:bottom w:val="single" w:color="000000" w:sz="4" w:space="0"/>
            </w:tcBorders>
            <w:shd w:val="clear" w:color="auto" w:fill="FFFFFF"/>
            <w:vAlign w:val="center"/>
          </w:tcPr>
          <w:p w14:paraId="2E6ACBDD">
            <w:pPr>
              <w:rPr>
                <w:rFonts w:hint="eastAsia" w:ascii="仿宋_GB2312" w:hAnsi="仿宋_GB2312" w:eastAsia="仿宋_GB2312" w:cs="仿宋_GB2312"/>
                <w:sz w:val="21"/>
                <w:szCs w:val="21"/>
                <w:lang w:eastAsia="zh-CN"/>
              </w:rPr>
            </w:pPr>
          </w:p>
        </w:tc>
      </w:tr>
      <w:tr w14:paraId="02C3A9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1313" w:type="dxa"/>
            <w:vMerge w:val="continue"/>
            <w:tcBorders>
              <w:top w:val="nil"/>
              <w:bottom w:val="single" w:color="auto" w:sz="4" w:space="0"/>
              <w:right w:val="single" w:color="000000" w:sz="8" w:space="0"/>
            </w:tcBorders>
            <w:shd w:val="clear" w:color="auto" w:fill="auto"/>
            <w:vAlign w:val="center"/>
          </w:tcPr>
          <w:p w14:paraId="7E968164">
            <w:pPr>
              <w:keepNext w:val="0"/>
              <w:keepLines w:val="0"/>
              <w:pageBreakBefore w:val="0"/>
              <w:widowControl/>
              <w:kinsoku/>
              <w:wordWrap/>
              <w:overflowPunct/>
              <w:topLinePunct w:val="0"/>
              <w:autoSpaceDE/>
              <w:autoSpaceDN/>
              <w:bidi w:val="0"/>
              <w:adjustRightInd/>
              <w:snapToGrid/>
              <w:spacing w:line="380" w:lineRule="exact"/>
              <w:jc w:val="left"/>
              <w:textAlignment w:val="baseline"/>
              <w:rPr>
                <w:rFonts w:hint="eastAsia" w:ascii="仿宋_GB2312" w:hAnsi="宋体" w:eastAsia="仿宋_GB2312" w:cs="宋体"/>
                <w:sz w:val="24"/>
                <w:szCs w:val="24"/>
              </w:rPr>
            </w:pPr>
          </w:p>
        </w:tc>
        <w:tc>
          <w:tcPr>
            <w:tcW w:w="2070" w:type="dxa"/>
            <w:tcBorders>
              <w:top w:val="single" w:color="000000" w:sz="4" w:space="0"/>
              <w:left w:val="nil"/>
              <w:bottom w:val="single" w:color="auto" w:sz="4" w:space="0"/>
              <w:right w:val="single" w:color="000000" w:sz="8" w:space="0"/>
            </w:tcBorders>
            <w:shd w:val="clear" w:color="auto" w:fill="FFFFFF"/>
            <w:vAlign w:val="center"/>
          </w:tcPr>
          <w:p w14:paraId="65F4A8A3">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仿宋_GB2312" w:hAnsi="宋体" w:eastAsia="仿宋_GB2312" w:cs="Times New Roman"/>
                <w:sz w:val="24"/>
                <w:szCs w:val="24"/>
              </w:rPr>
            </w:pPr>
            <w:r>
              <w:rPr>
                <w:rFonts w:hint="eastAsia" w:ascii="仿宋_GB2312" w:hAnsi="宋体" w:eastAsia="仿宋_GB2312" w:cs="Times New Roman"/>
                <w:sz w:val="24"/>
                <w:szCs w:val="24"/>
                <w:lang w:eastAsia="zh-CN"/>
              </w:rPr>
              <w:t>项目负责人情况</w:t>
            </w:r>
          </w:p>
        </w:tc>
        <w:tc>
          <w:tcPr>
            <w:tcW w:w="705" w:type="dxa"/>
            <w:tcBorders>
              <w:top w:val="single" w:color="000000" w:sz="4" w:space="0"/>
              <w:left w:val="nil"/>
              <w:bottom w:val="single" w:color="auto" w:sz="4" w:space="0"/>
              <w:right w:val="single" w:color="000000" w:sz="8" w:space="0"/>
            </w:tcBorders>
            <w:shd w:val="clear" w:color="auto" w:fill="FFFFFF"/>
            <w:vAlign w:val="center"/>
          </w:tcPr>
          <w:p w14:paraId="37FE17E3">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8467" w:type="dxa"/>
            <w:tcBorders>
              <w:top w:val="single" w:color="000000" w:sz="4" w:space="0"/>
              <w:left w:val="single" w:color="000000" w:sz="2" w:space="0"/>
              <w:bottom w:val="single" w:color="auto" w:sz="4" w:space="0"/>
              <w:right w:val="single" w:color="000000" w:sz="8" w:space="0"/>
            </w:tcBorders>
            <w:shd w:val="clear" w:color="auto" w:fill="FFFFFF"/>
            <w:vAlign w:val="center"/>
          </w:tcPr>
          <w:p w14:paraId="06B43033">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拟投入本项目负责人承担的</w:t>
            </w:r>
            <w:r>
              <w:rPr>
                <w:rFonts w:hint="eastAsia" w:ascii="仿宋_GB2312" w:hAnsi="仿宋_GB2312" w:eastAsia="仿宋_GB2312" w:cs="仿宋_GB2312"/>
                <w:kern w:val="0"/>
                <w:sz w:val="24"/>
                <w:szCs w:val="24"/>
                <w:lang w:eastAsia="zh-CN"/>
              </w:rPr>
              <w:t>医师节或护士节或卫生健康宣传</w:t>
            </w:r>
            <w:r>
              <w:rPr>
                <w:rFonts w:hint="eastAsia" w:ascii="仿宋_GB2312" w:hAnsi="仿宋_GB2312" w:eastAsia="仿宋_GB2312" w:cs="仿宋_GB2312"/>
                <w:kern w:val="0"/>
                <w:sz w:val="24"/>
                <w:szCs w:val="24"/>
                <w:lang w:val="en-US" w:eastAsia="zh-CN"/>
              </w:rPr>
              <w:t>活动</w:t>
            </w:r>
            <w:r>
              <w:rPr>
                <w:rFonts w:hint="eastAsia" w:ascii="仿宋_GB2312" w:hAnsi="仿宋_GB2312" w:eastAsia="仿宋_GB2312" w:cs="仿宋_GB2312"/>
                <w:kern w:val="0"/>
                <w:sz w:val="24"/>
                <w:szCs w:val="24"/>
              </w:rPr>
              <w:t>工作情况。每项业绩得2分，最高得6分（需提供参与该项目的相关证明材料）</w:t>
            </w:r>
            <w:r>
              <w:rPr>
                <w:rFonts w:hint="eastAsia" w:ascii="仿宋_GB2312" w:hAnsi="仿宋_GB2312" w:eastAsia="仿宋_GB2312" w:cs="仿宋_GB2312"/>
                <w:kern w:val="0"/>
                <w:sz w:val="24"/>
                <w:szCs w:val="24"/>
                <w:lang w:eastAsia="zh-CN"/>
              </w:rPr>
              <w:t>。</w:t>
            </w:r>
          </w:p>
        </w:tc>
        <w:tc>
          <w:tcPr>
            <w:tcW w:w="795" w:type="dxa"/>
            <w:tcBorders>
              <w:top w:val="single" w:color="000000" w:sz="4" w:space="0"/>
              <w:left w:val="single" w:color="000000" w:sz="2" w:space="0"/>
              <w:bottom w:val="single" w:color="000000" w:sz="4" w:space="0"/>
              <w:right w:val="single" w:color="000000" w:sz="8" w:space="0"/>
            </w:tcBorders>
            <w:shd w:val="clear" w:color="auto" w:fill="FFFFFF"/>
            <w:vAlign w:val="center"/>
          </w:tcPr>
          <w:p w14:paraId="078900CB">
            <w:pPr>
              <w:rPr>
                <w:rFonts w:hint="eastAsia" w:ascii="仿宋_GB2312" w:hAnsi="仿宋_GB2312" w:eastAsia="仿宋_GB2312" w:cs="仿宋_GB2312"/>
                <w:sz w:val="21"/>
                <w:szCs w:val="21"/>
                <w:lang w:eastAsia="zh-CN"/>
              </w:rPr>
            </w:pPr>
          </w:p>
        </w:tc>
        <w:tc>
          <w:tcPr>
            <w:tcW w:w="2245" w:type="dxa"/>
            <w:tcBorders>
              <w:top w:val="single" w:color="000000" w:sz="4" w:space="0"/>
              <w:left w:val="single" w:color="000000" w:sz="2" w:space="0"/>
              <w:bottom w:val="single" w:color="000000" w:sz="4" w:space="0"/>
            </w:tcBorders>
            <w:shd w:val="clear" w:color="auto" w:fill="FFFFFF"/>
            <w:vAlign w:val="center"/>
          </w:tcPr>
          <w:p w14:paraId="15112407">
            <w:pPr>
              <w:rPr>
                <w:rFonts w:hint="eastAsia" w:ascii="仿宋_GB2312" w:hAnsi="仿宋_GB2312" w:eastAsia="仿宋_GB2312" w:cs="仿宋_GB2312"/>
                <w:sz w:val="21"/>
                <w:szCs w:val="21"/>
                <w:lang w:eastAsia="zh-CN"/>
              </w:rPr>
            </w:pPr>
          </w:p>
        </w:tc>
      </w:tr>
      <w:tr w14:paraId="12960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90" w:hRule="atLeast"/>
        </w:trPr>
        <w:tc>
          <w:tcPr>
            <w:tcW w:w="1313" w:type="dxa"/>
            <w:tcBorders>
              <w:top w:val="nil"/>
              <w:bottom w:val="single" w:color="auto" w:sz="4" w:space="0"/>
              <w:right w:val="single" w:color="000000" w:sz="8" w:space="0"/>
            </w:tcBorders>
            <w:shd w:val="clear" w:color="auto" w:fill="auto"/>
            <w:vAlign w:val="center"/>
          </w:tcPr>
          <w:p w14:paraId="6EA164CE">
            <w:pPr>
              <w:keepNext w:val="0"/>
              <w:keepLines w:val="0"/>
              <w:pageBreakBefore w:val="0"/>
              <w:widowControl/>
              <w:kinsoku/>
              <w:wordWrap/>
              <w:overflowPunct/>
              <w:topLinePunct w:val="0"/>
              <w:autoSpaceDE/>
              <w:autoSpaceDN/>
              <w:bidi w:val="0"/>
              <w:adjustRightInd/>
              <w:snapToGrid/>
              <w:spacing w:line="380" w:lineRule="exact"/>
              <w:jc w:val="center"/>
              <w:textAlignment w:val="baseline"/>
              <w:rPr>
                <w:rFonts w:hint="eastAsia" w:ascii="仿宋_GB2312" w:hAnsi="宋体" w:eastAsia="仿宋_GB2312" w:cs="宋体"/>
                <w:sz w:val="24"/>
                <w:szCs w:val="24"/>
              </w:rPr>
            </w:pPr>
            <w:r>
              <w:rPr>
                <w:rFonts w:hint="eastAsia" w:ascii="仿宋_GB2312" w:hAnsi="宋体" w:eastAsia="仿宋_GB2312" w:cs="Times New Roman"/>
                <w:sz w:val="24"/>
                <w:szCs w:val="24"/>
              </w:rPr>
              <w:t>价格部分</w:t>
            </w:r>
            <w:r>
              <w:rPr>
                <w:rFonts w:hint="eastAsia" w:ascii="仿宋_GB2312" w:hAnsi="宋体" w:eastAsia="仿宋_GB2312" w:cs="Times New Roman"/>
                <w:sz w:val="24"/>
                <w:szCs w:val="24"/>
                <w:lang w:eastAsia="zh-CN"/>
              </w:rPr>
              <w:t>（</w:t>
            </w:r>
            <w:r>
              <w:rPr>
                <w:rFonts w:hint="eastAsia" w:ascii="仿宋_GB2312" w:hAnsi="宋体" w:eastAsia="仿宋_GB2312" w:cs="Times New Roman"/>
                <w:sz w:val="24"/>
                <w:szCs w:val="24"/>
                <w:lang w:val="en-US" w:eastAsia="zh-CN"/>
              </w:rPr>
              <w:t>10分</w:t>
            </w:r>
            <w:r>
              <w:rPr>
                <w:rFonts w:hint="eastAsia" w:ascii="仿宋_GB2312" w:hAnsi="宋体" w:eastAsia="仿宋_GB2312" w:cs="Times New Roman"/>
                <w:sz w:val="24"/>
                <w:szCs w:val="24"/>
                <w:lang w:eastAsia="zh-CN"/>
              </w:rPr>
              <w:t>）</w:t>
            </w:r>
          </w:p>
        </w:tc>
        <w:tc>
          <w:tcPr>
            <w:tcW w:w="2070" w:type="dxa"/>
            <w:tcBorders>
              <w:top w:val="single" w:color="000000" w:sz="4" w:space="0"/>
              <w:left w:val="nil"/>
              <w:bottom w:val="single" w:color="auto" w:sz="4" w:space="0"/>
              <w:right w:val="single" w:color="000000" w:sz="8" w:space="0"/>
            </w:tcBorders>
            <w:shd w:val="clear" w:color="auto" w:fill="FFFFFF"/>
            <w:vAlign w:val="center"/>
          </w:tcPr>
          <w:p w14:paraId="06286A14">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仿宋_GB2312" w:hAnsi="宋体" w:eastAsia="仿宋_GB2312" w:cs="Times New Roman"/>
                <w:sz w:val="24"/>
                <w:szCs w:val="24"/>
              </w:rPr>
            </w:pPr>
            <w:r>
              <w:rPr>
                <w:rFonts w:hint="eastAsia" w:ascii="仿宋_GB2312" w:hAnsi="宋体" w:eastAsia="仿宋_GB2312" w:cs="宋体"/>
                <w:kern w:val="0"/>
                <w:sz w:val="24"/>
                <w:szCs w:val="24"/>
                <w:lang w:eastAsia="zh-CN"/>
              </w:rPr>
              <w:t>遴选报价</w:t>
            </w:r>
          </w:p>
        </w:tc>
        <w:tc>
          <w:tcPr>
            <w:tcW w:w="705" w:type="dxa"/>
            <w:tcBorders>
              <w:top w:val="single" w:color="000000" w:sz="4" w:space="0"/>
              <w:left w:val="nil"/>
              <w:bottom w:val="single" w:color="auto" w:sz="4" w:space="0"/>
              <w:right w:val="single" w:color="000000" w:sz="8" w:space="0"/>
            </w:tcBorders>
            <w:shd w:val="clear" w:color="auto" w:fill="FFFFFF"/>
            <w:vAlign w:val="center"/>
          </w:tcPr>
          <w:p w14:paraId="1C369C56">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10 </w:t>
            </w:r>
          </w:p>
        </w:tc>
        <w:tc>
          <w:tcPr>
            <w:tcW w:w="8467" w:type="dxa"/>
            <w:tcBorders>
              <w:top w:val="single" w:color="000000" w:sz="4" w:space="0"/>
              <w:left w:val="single" w:color="000000" w:sz="2" w:space="0"/>
              <w:bottom w:val="single" w:color="auto" w:sz="4" w:space="0"/>
              <w:right w:val="single" w:color="000000" w:sz="8" w:space="0"/>
            </w:tcBorders>
            <w:shd w:val="clear" w:color="auto" w:fill="FFFFFF"/>
            <w:vAlign w:val="center"/>
          </w:tcPr>
          <w:p w14:paraId="0131B568">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综合评分法中的价格分统一采用低价优先法计算，即满足遴选文件要求且价格最低的评审价为评标基准价，其价格分为满分。其他供应商的价格分统一按照下列</w:t>
            </w:r>
            <w:r>
              <w:rPr>
                <w:rFonts w:hint="eastAsia" w:ascii="仿宋_GB2312" w:hAnsi="仿宋_GB2312" w:eastAsia="仿宋_GB2312" w:cs="仿宋_GB2312"/>
                <w:b/>
                <w:bCs/>
                <w:sz w:val="24"/>
                <w:szCs w:val="24"/>
                <w:lang w:eastAsia="zh-CN"/>
              </w:rPr>
              <w:t>公式计算</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u w:val="single"/>
                <w:lang w:eastAsia="zh-CN"/>
              </w:rPr>
              <w:t>价格分数=（基准价/遴选报价）×10</w:t>
            </w:r>
            <w:r>
              <w:rPr>
                <w:rFonts w:hint="eastAsia" w:ascii="仿宋_GB2312" w:hAnsi="仿宋_GB2312" w:eastAsia="仿宋_GB2312" w:cs="仿宋_GB2312"/>
                <w:sz w:val="24"/>
                <w:szCs w:val="24"/>
                <w:lang w:eastAsia="zh-CN"/>
              </w:rPr>
              <w:t>。最低报价不作为成交保证。</w:t>
            </w:r>
          </w:p>
          <w:p w14:paraId="1B597178">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如评审专家组认为某供应商报价明显低于其他供应商报价时，会要求其在评审现场合理的时间内提供书面说明，必要时提交相关材料。如供应商不能在指定时间证明其报价合理性的，评审专家组有权将其作为无效遴选处理】</w:t>
            </w:r>
          </w:p>
        </w:tc>
        <w:tc>
          <w:tcPr>
            <w:tcW w:w="795" w:type="dxa"/>
            <w:tcBorders>
              <w:top w:val="single" w:color="000000" w:sz="4" w:space="0"/>
              <w:left w:val="single" w:color="000000" w:sz="2" w:space="0"/>
              <w:bottom w:val="single" w:color="000000" w:sz="4" w:space="0"/>
              <w:right w:val="single" w:color="000000" w:sz="8" w:space="0"/>
            </w:tcBorders>
            <w:shd w:val="clear" w:color="auto" w:fill="FFFFFF"/>
            <w:vAlign w:val="center"/>
          </w:tcPr>
          <w:p w14:paraId="685D64D5">
            <w:pPr>
              <w:rPr>
                <w:rFonts w:hint="eastAsia" w:ascii="仿宋_GB2312" w:hAnsi="仿宋_GB2312" w:eastAsia="仿宋_GB2312" w:cs="仿宋_GB2312"/>
                <w:sz w:val="21"/>
                <w:szCs w:val="21"/>
                <w:lang w:eastAsia="zh-CN"/>
              </w:rPr>
            </w:pPr>
          </w:p>
        </w:tc>
        <w:tc>
          <w:tcPr>
            <w:tcW w:w="2245" w:type="dxa"/>
            <w:tcBorders>
              <w:top w:val="single" w:color="000000" w:sz="4" w:space="0"/>
              <w:left w:val="single" w:color="000000" w:sz="2" w:space="0"/>
              <w:bottom w:val="single" w:color="000000" w:sz="4" w:space="0"/>
            </w:tcBorders>
            <w:shd w:val="clear" w:color="auto" w:fill="FFFFFF"/>
            <w:vAlign w:val="center"/>
          </w:tcPr>
          <w:p w14:paraId="336061C6">
            <w:pPr>
              <w:rPr>
                <w:rFonts w:hint="eastAsia" w:ascii="仿宋_GB2312" w:hAnsi="仿宋_GB2312" w:eastAsia="仿宋_GB2312" w:cs="仿宋_GB2312"/>
                <w:sz w:val="21"/>
                <w:szCs w:val="21"/>
                <w:lang w:eastAsia="zh-CN"/>
              </w:rPr>
            </w:pPr>
          </w:p>
        </w:tc>
      </w:tr>
      <w:tr w14:paraId="1061F0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2555" w:type="dxa"/>
            <w:gridSpan w:val="4"/>
            <w:tcBorders>
              <w:top w:val="single" w:color="auto" w:sz="4" w:space="0"/>
              <w:right w:val="single" w:color="auto" w:sz="4" w:space="0"/>
            </w:tcBorders>
            <w:shd w:val="clear" w:color="auto" w:fill="auto"/>
            <w:vAlign w:val="center"/>
          </w:tcPr>
          <w:p w14:paraId="480F5E7A">
            <w:pPr>
              <w:keepNext w:val="0"/>
              <w:keepLines w:val="0"/>
              <w:pageBreakBefore w:val="0"/>
              <w:widowControl/>
              <w:kinsoku/>
              <w:wordWrap/>
              <w:overflowPunct/>
              <w:topLinePunct w:val="0"/>
              <w:autoSpaceDE/>
              <w:autoSpaceDN/>
              <w:bidi w:val="0"/>
              <w:adjustRightInd/>
              <w:snapToGrid/>
              <w:spacing w:line="36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实际得分</w:t>
            </w:r>
          </w:p>
        </w:tc>
        <w:tc>
          <w:tcPr>
            <w:tcW w:w="3040" w:type="dxa"/>
            <w:gridSpan w:val="2"/>
            <w:tcBorders>
              <w:top w:val="single" w:color="000000" w:sz="4" w:space="0"/>
              <w:left w:val="single" w:color="auto" w:sz="4" w:space="0"/>
            </w:tcBorders>
            <w:shd w:val="clear" w:color="auto" w:fill="FFFFFF"/>
            <w:vAlign w:val="center"/>
          </w:tcPr>
          <w:p w14:paraId="280F1C03">
            <w:pPr>
              <w:rPr>
                <w:rFonts w:hint="eastAsia" w:ascii="仿宋_GB2312" w:hAnsi="仿宋_GB2312" w:eastAsia="仿宋_GB2312" w:cs="仿宋_GB2312"/>
                <w:sz w:val="21"/>
                <w:szCs w:val="21"/>
                <w:lang w:eastAsia="zh-CN"/>
              </w:rPr>
            </w:pPr>
          </w:p>
        </w:tc>
      </w:tr>
    </w:tbl>
    <w:p w14:paraId="3EC3A91C">
      <w:pPr>
        <w:pStyle w:val="9"/>
        <w:spacing w:before="287" w:beforeLines="100" w:line="240" w:lineRule="auto"/>
        <w:rPr>
          <w:rFonts w:hint="eastAsia"/>
          <w:lang w:val="en-US" w:eastAsia="zh-CN"/>
        </w:rPr>
      </w:pPr>
      <w:r>
        <w:rPr>
          <w:rFonts w:hint="eastAsia"/>
          <w:sz w:val="24"/>
          <w:lang w:val="en-US" w:eastAsia="zh-CN"/>
        </w:rPr>
        <w:t xml:space="preserve">遴选日期：  2025年     月     日                                  遴选专家签字： </w:t>
      </w:r>
      <w:r>
        <w:rPr>
          <w:rFonts w:hint="eastAsia"/>
          <w:sz w:val="24"/>
          <w:u w:val="single"/>
          <w:lang w:val="en-US" w:eastAsia="zh-CN"/>
        </w:rPr>
        <w:t xml:space="preserve">                      </w:t>
      </w:r>
    </w:p>
    <w:sectPr>
      <w:headerReference r:id="rId5" w:type="default"/>
      <w:footerReference r:id="rId6" w:type="default"/>
      <w:footerReference r:id="rId7" w:type="even"/>
      <w:pgSz w:w="16838" w:h="11906" w:orient="landscape"/>
      <w:pgMar w:top="1179" w:right="2098" w:bottom="1247" w:left="1985" w:header="851" w:footer="1588" w:gutter="0"/>
      <w:pgBorders>
        <w:top w:val="none" w:sz="0" w:space="0"/>
        <w:left w:val="none" w:sz="0" w:space="0"/>
        <w:bottom w:val="none" w:sz="0" w:space="0"/>
        <w:right w:val="none" w:sz="0" w:space="0"/>
      </w:pgBorders>
      <w:cols w:space="720" w:num="1"/>
      <w:docGrid w:type="lines"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1" w:fontKey="{1B848579-928C-4713-AE99-EE125B9C765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2" w:fontKey="{7B6C589D-09F1-4143-8A3D-F2C9F100F41B}"/>
  </w:font>
  <w:font w:name="楷体">
    <w:panose1 w:val="02010609060101010101"/>
    <w:charset w:val="86"/>
    <w:family w:val="auto"/>
    <w:pitch w:val="default"/>
    <w:sig w:usb0="800002BF" w:usb1="38CF7CFA" w:usb2="00000016" w:usb3="00000000" w:csb0="00040001" w:csb1="00000000"/>
    <w:embedRegular r:id="rId3" w:fontKey="{A7EF87EB-3209-41F7-AC81-6CEAE2E8DF3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F2B85">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989F6">
    <w:pPr>
      <w:pStyle w:val="6"/>
      <w:framePr w:wrap="around" w:vAnchor="text" w:hAnchor="margin" w:xAlign="outside" w:y="1"/>
      <w:ind w:left="210" w:leftChars="100"/>
      <w:rPr>
        <w:rStyle w:val="15"/>
        <w:rFonts w:ascii="宋体" w:hAnsi="宋体"/>
        <w:sz w:val="28"/>
        <w:szCs w:val="28"/>
      </w:rPr>
    </w:pPr>
    <w:r>
      <w:rPr>
        <w:rStyle w:val="15"/>
        <w:rFonts w:hint="eastAsia" w:ascii="宋体" w:hAnsi="宋体"/>
        <w:sz w:val="28"/>
        <w:szCs w:val="28"/>
      </w:rPr>
      <w:t xml:space="preserve">－ </w:t>
    </w:r>
    <w:r>
      <w:rPr>
        <w:rStyle w:val="15"/>
        <w:rFonts w:ascii="宋体" w:hAnsi="宋体"/>
        <w:sz w:val="28"/>
        <w:szCs w:val="28"/>
      </w:rPr>
      <w:fldChar w:fldCharType="begin"/>
    </w:r>
    <w:r>
      <w:rPr>
        <w:rStyle w:val="15"/>
        <w:rFonts w:ascii="宋体" w:hAnsi="宋体"/>
        <w:sz w:val="28"/>
        <w:szCs w:val="28"/>
      </w:rPr>
      <w:instrText xml:space="preserve">PAGE  </w:instrText>
    </w:r>
    <w:r>
      <w:rPr>
        <w:rStyle w:val="15"/>
        <w:rFonts w:ascii="宋体" w:hAnsi="宋体"/>
        <w:sz w:val="28"/>
        <w:szCs w:val="28"/>
      </w:rPr>
      <w:fldChar w:fldCharType="separate"/>
    </w:r>
    <w:r>
      <w:rPr>
        <w:rStyle w:val="15"/>
        <w:rFonts w:ascii="宋体" w:hAnsi="宋体"/>
        <w:sz w:val="28"/>
        <w:szCs w:val="28"/>
      </w:rPr>
      <w:t>4</w:t>
    </w:r>
    <w:r>
      <w:rPr>
        <w:rStyle w:val="15"/>
        <w:rFonts w:ascii="宋体" w:hAnsi="宋体"/>
        <w:sz w:val="28"/>
        <w:szCs w:val="28"/>
      </w:rPr>
      <w:fldChar w:fldCharType="end"/>
    </w:r>
    <w:r>
      <w:rPr>
        <w:rStyle w:val="15"/>
        <w:rFonts w:hint="eastAsia" w:ascii="宋体" w:hAnsi="宋体"/>
        <w:sz w:val="28"/>
        <w:szCs w:val="28"/>
      </w:rPr>
      <w:t xml:space="preserve"> －</w:t>
    </w:r>
  </w:p>
  <w:p w14:paraId="20774DEB">
    <w:pPr>
      <w:pStyle w:val="6"/>
      <w:ind w:right="360" w:firstLine="360"/>
      <w:rPr>
        <w:rFonts w:ascii="宋体" w:hAnsi="宋体"/>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71B0A">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ascii="宋体" w:hAnsi="宋体" w:eastAsia="宋体"/>
        <w:sz w:val="28"/>
        <w:szCs w:val="28"/>
      </w:rPr>
    </w:lvl>
    <w:lvl w:ilvl="1" w:tentative="0">
      <w:start w:val="1"/>
      <w:numFmt w:val="chineseCountingThousand"/>
      <w:pStyle w:val="2"/>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WVhYTdlNzIyNjYyY2VlMzljYzk0OTRjOWMzYjY3OTEifQ=="/>
  </w:docVars>
  <w:rsids>
    <w:rsidRoot w:val="00000000"/>
    <w:rsid w:val="007C2754"/>
    <w:rsid w:val="00BE39DE"/>
    <w:rsid w:val="01FF51E1"/>
    <w:rsid w:val="027C16B8"/>
    <w:rsid w:val="02D72661"/>
    <w:rsid w:val="03231B33"/>
    <w:rsid w:val="059E2D61"/>
    <w:rsid w:val="05D20C77"/>
    <w:rsid w:val="05FC679E"/>
    <w:rsid w:val="0702412D"/>
    <w:rsid w:val="070E5B8E"/>
    <w:rsid w:val="07465F1D"/>
    <w:rsid w:val="07A13A99"/>
    <w:rsid w:val="098D7D07"/>
    <w:rsid w:val="09914CCC"/>
    <w:rsid w:val="099869BA"/>
    <w:rsid w:val="09D37D46"/>
    <w:rsid w:val="0A416590"/>
    <w:rsid w:val="0AE43B71"/>
    <w:rsid w:val="0C191D25"/>
    <w:rsid w:val="0CA51BF8"/>
    <w:rsid w:val="0D0F6543"/>
    <w:rsid w:val="0E0119CA"/>
    <w:rsid w:val="0E3B799D"/>
    <w:rsid w:val="0E79590D"/>
    <w:rsid w:val="0E8D58EF"/>
    <w:rsid w:val="0F1A64E0"/>
    <w:rsid w:val="10BD324F"/>
    <w:rsid w:val="10DC4F92"/>
    <w:rsid w:val="116D040D"/>
    <w:rsid w:val="120A6163"/>
    <w:rsid w:val="126679E3"/>
    <w:rsid w:val="12C17203"/>
    <w:rsid w:val="139D30C7"/>
    <w:rsid w:val="142E7791"/>
    <w:rsid w:val="1430235A"/>
    <w:rsid w:val="143C4EDC"/>
    <w:rsid w:val="149C7B8C"/>
    <w:rsid w:val="14ED0209"/>
    <w:rsid w:val="1538070B"/>
    <w:rsid w:val="15AD71D1"/>
    <w:rsid w:val="16337DFA"/>
    <w:rsid w:val="16826719"/>
    <w:rsid w:val="19362169"/>
    <w:rsid w:val="195B775B"/>
    <w:rsid w:val="199C1ED7"/>
    <w:rsid w:val="1A741C95"/>
    <w:rsid w:val="1BF974E3"/>
    <w:rsid w:val="1C2D4C7B"/>
    <w:rsid w:val="1C3425A1"/>
    <w:rsid w:val="1DFE71E1"/>
    <w:rsid w:val="1E8D16A5"/>
    <w:rsid w:val="1F223576"/>
    <w:rsid w:val="20555F76"/>
    <w:rsid w:val="22A61CC2"/>
    <w:rsid w:val="23825FAA"/>
    <w:rsid w:val="23B24AE2"/>
    <w:rsid w:val="23F31321"/>
    <w:rsid w:val="251406E0"/>
    <w:rsid w:val="251E499C"/>
    <w:rsid w:val="26D23C06"/>
    <w:rsid w:val="275A34C6"/>
    <w:rsid w:val="27FF7BCA"/>
    <w:rsid w:val="28B424B6"/>
    <w:rsid w:val="28CE464D"/>
    <w:rsid w:val="2A3B1D0C"/>
    <w:rsid w:val="2A500721"/>
    <w:rsid w:val="2A5F42E4"/>
    <w:rsid w:val="2A9E642D"/>
    <w:rsid w:val="2AAE7B1B"/>
    <w:rsid w:val="2AC64341"/>
    <w:rsid w:val="2AF74AFA"/>
    <w:rsid w:val="2C490FEF"/>
    <w:rsid w:val="2C557EE5"/>
    <w:rsid w:val="2C77727F"/>
    <w:rsid w:val="2DF316F7"/>
    <w:rsid w:val="2E9A328C"/>
    <w:rsid w:val="304557D8"/>
    <w:rsid w:val="30640A4A"/>
    <w:rsid w:val="30FB11B2"/>
    <w:rsid w:val="310B6782"/>
    <w:rsid w:val="3111559E"/>
    <w:rsid w:val="31FB296F"/>
    <w:rsid w:val="33EE3601"/>
    <w:rsid w:val="372847D4"/>
    <w:rsid w:val="385A2AE8"/>
    <w:rsid w:val="39C809FB"/>
    <w:rsid w:val="3ABE0FD9"/>
    <w:rsid w:val="3B7D63DA"/>
    <w:rsid w:val="3B944BC0"/>
    <w:rsid w:val="3EF1169A"/>
    <w:rsid w:val="414C39F0"/>
    <w:rsid w:val="439A472A"/>
    <w:rsid w:val="43A571CF"/>
    <w:rsid w:val="441C7FD3"/>
    <w:rsid w:val="45C565EC"/>
    <w:rsid w:val="465E4CB1"/>
    <w:rsid w:val="47C67CFB"/>
    <w:rsid w:val="47E62066"/>
    <w:rsid w:val="4A192850"/>
    <w:rsid w:val="4A632DA1"/>
    <w:rsid w:val="4AEA342D"/>
    <w:rsid w:val="4B645C7A"/>
    <w:rsid w:val="4CBE712F"/>
    <w:rsid w:val="4CF82CB6"/>
    <w:rsid w:val="4D2C4661"/>
    <w:rsid w:val="4DE81745"/>
    <w:rsid w:val="4EC40AAC"/>
    <w:rsid w:val="4F353A65"/>
    <w:rsid w:val="50161CC6"/>
    <w:rsid w:val="503F55AC"/>
    <w:rsid w:val="50B2385B"/>
    <w:rsid w:val="513044BE"/>
    <w:rsid w:val="518C1080"/>
    <w:rsid w:val="524730B2"/>
    <w:rsid w:val="52FB4B21"/>
    <w:rsid w:val="53E14715"/>
    <w:rsid w:val="546365A3"/>
    <w:rsid w:val="55766852"/>
    <w:rsid w:val="559F50D6"/>
    <w:rsid w:val="57E26A3C"/>
    <w:rsid w:val="58CE6FC1"/>
    <w:rsid w:val="59B60656"/>
    <w:rsid w:val="5A91404C"/>
    <w:rsid w:val="5C501E2D"/>
    <w:rsid w:val="5D432800"/>
    <w:rsid w:val="5D4D621E"/>
    <w:rsid w:val="5E2D5235"/>
    <w:rsid w:val="5E8B68CF"/>
    <w:rsid w:val="5F5A7800"/>
    <w:rsid w:val="61AD053C"/>
    <w:rsid w:val="625B3673"/>
    <w:rsid w:val="63543822"/>
    <w:rsid w:val="637D4B55"/>
    <w:rsid w:val="63E643B8"/>
    <w:rsid w:val="640E4E7E"/>
    <w:rsid w:val="65586CD4"/>
    <w:rsid w:val="657E5541"/>
    <w:rsid w:val="65FD37CF"/>
    <w:rsid w:val="662965FB"/>
    <w:rsid w:val="66723E06"/>
    <w:rsid w:val="66B17ADD"/>
    <w:rsid w:val="672F227A"/>
    <w:rsid w:val="678720E2"/>
    <w:rsid w:val="680F6BB7"/>
    <w:rsid w:val="68703912"/>
    <w:rsid w:val="6919500A"/>
    <w:rsid w:val="6A0532A1"/>
    <w:rsid w:val="6B33079D"/>
    <w:rsid w:val="6BFC45F9"/>
    <w:rsid w:val="6C6966AA"/>
    <w:rsid w:val="6C992961"/>
    <w:rsid w:val="6D084F7C"/>
    <w:rsid w:val="6D441C7B"/>
    <w:rsid w:val="6D8D693E"/>
    <w:rsid w:val="6F92331A"/>
    <w:rsid w:val="70A37393"/>
    <w:rsid w:val="711E7A05"/>
    <w:rsid w:val="72372D87"/>
    <w:rsid w:val="727A6A13"/>
    <w:rsid w:val="72D72911"/>
    <w:rsid w:val="73104330"/>
    <w:rsid w:val="73CD6508"/>
    <w:rsid w:val="750F3DE0"/>
    <w:rsid w:val="75FD4DF0"/>
    <w:rsid w:val="76A06818"/>
    <w:rsid w:val="77316C5C"/>
    <w:rsid w:val="773C186D"/>
    <w:rsid w:val="777A449D"/>
    <w:rsid w:val="778F3545"/>
    <w:rsid w:val="77F83326"/>
    <w:rsid w:val="78542BE7"/>
    <w:rsid w:val="78957EF8"/>
    <w:rsid w:val="79705CA0"/>
    <w:rsid w:val="79863E66"/>
    <w:rsid w:val="7A6823CB"/>
    <w:rsid w:val="7A701748"/>
    <w:rsid w:val="7A9B392D"/>
    <w:rsid w:val="7C3866D8"/>
    <w:rsid w:val="7C724BD9"/>
    <w:rsid w:val="7D7C4771"/>
    <w:rsid w:val="7E0F492A"/>
    <w:rsid w:val="7E1816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textAlignment w:val="baseline"/>
    </w:pPr>
    <w:rPr>
      <w:rFonts w:ascii="Calibri" w:hAnsi="Calibri" w:eastAsia="等线" w:cs="Times New Roman"/>
      <w:kern w:val="2"/>
      <w:sz w:val="21"/>
      <w:szCs w:val="24"/>
      <w:lang w:val="en-US" w:eastAsia="zh-CN" w:bidi="ar-SA"/>
    </w:rPr>
  </w:style>
  <w:style w:type="paragraph" w:styleId="2">
    <w:name w:val="heading 2"/>
    <w:basedOn w:val="1"/>
    <w:next w:val="1"/>
    <w:autoRedefine/>
    <w:unhideWhenUsed/>
    <w:qFormat/>
    <w:uiPriority w:val="9"/>
    <w:pPr>
      <w:keepNext/>
      <w:keepLines/>
      <w:numPr>
        <w:ilvl w:val="1"/>
        <w:numId w:val="1"/>
      </w:numPr>
      <w:spacing w:before="260" w:after="260" w:line="416" w:lineRule="atLeast"/>
      <w:outlineLvl w:val="1"/>
    </w:pPr>
    <w:rPr>
      <w:rFonts w:ascii="Arial" w:hAnsi="Arial" w:eastAsia="黑体"/>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Indent"/>
    <w:basedOn w:val="1"/>
    <w:autoRedefine/>
    <w:qFormat/>
    <w:uiPriority w:val="0"/>
    <w:pPr>
      <w:spacing w:line="360" w:lineRule="auto"/>
      <w:ind w:firstLine="480" w:firstLineChars="200"/>
    </w:pPr>
    <w:rPr>
      <w:sz w:val="24"/>
    </w:rPr>
  </w:style>
  <w:style w:type="paragraph" w:styleId="4">
    <w:name w:val="Plain Text"/>
    <w:basedOn w:val="1"/>
    <w:next w:val="1"/>
    <w:autoRedefine/>
    <w:qFormat/>
    <w:uiPriority w:val="99"/>
    <w:rPr>
      <w:rFonts w:ascii="宋体" w:hAnsi="Courier New" w:cs="Courier New"/>
      <w:szCs w:val="21"/>
    </w:rPr>
  </w:style>
  <w:style w:type="paragraph" w:styleId="5">
    <w:name w:val="Body Text Indent 2"/>
    <w:basedOn w:val="1"/>
    <w:autoRedefine/>
    <w:qFormat/>
    <w:uiPriority w:val="0"/>
    <w:pPr>
      <w:tabs>
        <w:tab w:val="left" w:pos="2250"/>
      </w:tabs>
      <w:spacing w:before="100" w:beforeAutospacing="1" w:line="400" w:lineRule="exact"/>
      <w:ind w:firstLine="629"/>
    </w:pPr>
    <w:rPr>
      <w:sz w:val="3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unhideWhenUsed/>
    <w:qFormat/>
    <w:uiPriority w:val="99"/>
    <w:pPr>
      <w:spacing w:before="100" w:beforeAutospacing="1" w:after="100" w:afterAutospacing="1"/>
      <w:ind w:left="0" w:right="0"/>
      <w:jc w:val="left"/>
    </w:pPr>
    <w:rPr>
      <w:kern w:val="0"/>
      <w:sz w:val="24"/>
      <w:lang w:val="en-US" w:eastAsia="zh-CN" w:bidi="ar-SA"/>
    </w:rPr>
  </w:style>
  <w:style w:type="paragraph" w:styleId="9">
    <w:name w:val="index 1"/>
    <w:basedOn w:val="1"/>
    <w:next w:val="1"/>
    <w:autoRedefine/>
    <w:qFormat/>
    <w:uiPriority w:val="99"/>
  </w:style>
  <w:style w:type="paragraph" w:styleId="10">
    <w:name w:val="Body Text First Indent 2"/>
    <w:basedOn w:val="3"/>
    <w:autoRedefine/>
    <w:qFormat/>
    <w:uiPriority w:val="0"/>
    <w:pPr>
      <w:ind w:firstLine="420" w:firstLineChars="200"/>
    </w:pPr>
    <w:rPr>
      <w:rFonts w:ascii="Calibri" w:hAnsi="Calibri"/>
    </w:rPr>
  </w:style>
  <w:style w:type="table" w:styleId="12">
    <w:name w:val="Table Grid"/>
    <w:basedOn w:val="11"/>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character" w:styleId="15">
    <w:name w:val="page number"/>
    <w:basedOn w:val="13"/>
    <w:autoRedefine/>
    <w:qFormat/>
    <w:uiPriority w:val="0"/>
  </w:style>
  <w:style w:type="character" w:styleId="16">
    <w:name w:val="Hyperlink"/>
    <w:basedOn w:val="13"/>
    <w:autoRedefine/>
    <w:unhideWhenUsed/>
    <w:qFormat/>
    <w:uiPriority w:val="99"/>
    <w:rPr>
      <w:color w:val="0563C1"/>
      <w:u w:val="single"/>
    </w:rPr>
  </w:style>
  <w:style w:type="paragraph" w:customStyle="1" w:styleId="17">
    <w:name w:val="UserStyle_1"/>
    <w:basedOn w:val="1"/>
    <w:link w:val="20"/>
    <w:autoRedefine/>
    <w:qFormat/>
    <w:uiPriority w:val="0"/>
    <w:rPr>
      <w:rFonts w:ascii="Times New Roman" w:hAnsi="Times New Roman" w:eastAsia="宋体"/>
      <w:kern w:val="0"/>
      <w:sz w:val="20"/>
      <w:szCs w:val="20"/>
    </w:rPr>
  </w:style>
  <w:style w:type="paragraph" w:customStyle="1" w:styleId="18">
    <w:name w:val="UserStyle_3"/>
    <w:basedOn w:val="1"/>
    <w:link w:val="21"/>
    <w:autoRedefine/>
    <w:qFormat/>
    <w:uiPriority w:val="0"/>
    <w:rPr>
      <w:rFonts w:ascii="Times New Roman" w:hAnsi="Times New Roman" w:eastAsia="宋体"/>
      <w:kern w:val="0"/>
      <w:sz w:val="20"/>
      <w:szCs w:val="20"/>
    </w:rPr>
  </w:style>
  <w:style w:type="paragraph" w:customStyle="1" w:styleId="19">
    <w:name w:val="Default"/>
    <w:autoRedefine/>
    <w:qFormat/>
    <w:uiPriority w:val="0"/>
    <w:pPr>
      <w:widowControl w:val="0"/>
      <w:autoSpaceDE w:val="0"/>
      <w:autoSpaceDN w:val="0"/>
      <w:adjustRightInd w:val="0"/>
    </w:pPr>
    <w:rPr>
      <w:rFonts w:ascii="仿宋_GB2312" w:hAnsi="等线" w:eastAsia="仿宋_GB2312" w:cs="仿宋_GB2312"/>
      <w:color w:val="000000"/>
      <w:kern w:val="0"/>
      <w:sz w:val="24"/>
      <w:szCs w:val="24"/>
      <w:lang w:val="en-US" w:eastAsia="zh-CN" w:bidi="ar-SA"/>
    </w:rPr>
  </w:style>
  <w:style w:type="character" w:customStyle="1" w:styleId="20">
    <w:name w:val="UserStyle_0"/>
    <w:link w:val="17"/>
    <w:autoRedefine/>
    <w:qFormat/>
    <w:uiPriority w:val="0"/>
    <w:rPr>
      <w:rFonts w:ascii="Times New Roman" w:hAnsi="Times New Roman" w:eastAsia="宋体"/>
      <w:kern w:val="0"/>
      <w:sz w:val="20"/>
      <w:szCs w:val="20"/>
    </w:rPr>
  </w:style>
  <w:style w:type="character" w:customStyle="1" w:styleId="21">
    <w:name w:val="UserStyle_2"/>
    <w:link w:val="18"/>
    <w:autoRedefine/>
    <w:qFormat/>
    <w:uiPriority w:val="0"/>
    <w:rPr>
      <w:rFonts w:ascii="Times New Roman" w:hAnsi="Times New Roman" w:eastAsia="宋体"/>
      <w:kern w:val="0"/>
      <w:sz w:val="20"/>
      <w:szCs w:val="20"/>
    </w:rPr>
  </w:style>
  <w:style w:type="character" w:customStyle="1" w:styleId="22">
    <w:name w:val="UserStyle_4"/>
    <w:autoRedefine/>
    <w:qFormat/>
    <w:uiPriority w:val="0"/>
    <w:rPr>
      <w:rFonts w:ascii="Calibri" w:hAnsi="Calibri" w:eastAsia="宋体"/>
    </w:rPr>
  </w:style>
  <w:style w:type="character" w:customStyle="1" w:styleId="23">
    <w:name w:val="NormalCharacter"/>
    <w:autoRedefine/>
    <w:qFormat/>
    <w:uiPriority w:val="0"/>
  </w:style>
  <w:style w:type="character" w:customStyle="1" w:styleId="24">
    <w:name w:val="font41"/>
    <w:basedOn w:val="13"/>
    <w:autoRedefine/>
    <w:qFormat/>
    <w:uiPriority w:val="0"/>
    <w:rPr>
      <w:rFonts w:hint="eastAsia" w:ascii="仿宋" w:hAnsi="仿宋" w:eastAsia="仿宋" w:cs="仿宋"/>
      <w:color w:val="000000"/>
      <w:sz w:val="24"/>
      <w:szCs w:val="24"/>
      <w:u w:val="none"/>
    </w:rPr>
  </w:style>
  <w:style w:type="character" w:customStyle="1" w:styleId="25">
    <w:name w:val="font31"/>
    <w:basedOn w:val="13"/>
    <w:autoRedefine/>
    <w:qFormat/>
    <w:uiPriority w:val="0"/>
    <w:rPr>
      <w:rFonts w:hint="eastAsia" w:ascii="仿宋" w:hAnsi="仿宋" w:eastAsia="仿宋" w:cs="仿宋"/>
      <w:color w:val="000000"/>
      <w:sz w:val="24"/>
      <w:szCs w:val="24"/>
      <w:u w:val="none"/>
    </w:rPr>
  </w:style>
  <w:style w:type="character" w:customStyle="1" w:styleId="26">
    <w:name w:val="font21"/>
    <w:basedOn w:val="13"/>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1270</Words>
  <Characters>1298</Characters>
  <Lines>0</Lines>
  <Paragraphs>0</Paragraphs>
  <TotalTime>2</TotalTime>
  <ScaleCrop>false</ScaleCrop>
  <LinksUpToDate>false</LinksUpToDate>
  <CharactersWithSpaces>1379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2022-01-10T23:51:00Z</dcterms:created>
  <dc:creator>hp</dc:creator>
  <cp:lastModifiedBy>YANG</cp:lastModifiedBy>
  <cp:lastPrinted>2025-03-18T03:01:28Z</cp:lastPrinted>
  <dcterms:modified xsi:type="dcterms:W3CDTF">2025-03-18T03:02:42Z</dcterms:modified>
  <dc:title>附件2        2022年国际护士节宣传项目评分标准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28A201C88DFC479684D0679D68EA4A06</vt:lpwstr>
  </property>
  <property fmtid="{D5CDD505-2E9C-101B-9397-08002B2CF9AE}" pid="4" name="KSOTemplateDocerSaveRecord">
    <vt:lpwstr>eyJoZGlkIjoiNjYxZjQ2Y2MxMDMyZDZkZDI3YTUxOWUzMDk2NjJjMzUiLCJ1c2VySWQiOiIzNjg1OTQ3OTcifQ==</vt:lpwstr>
  </property>
</Properties>
</file>