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9"/>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
          <w:bCs w:val="0"/>
          <w:sz w:val="28"/>
          <w:szCs w:val="28"/>
        </w:rPr>
        <w:t>排名第一的</w:t>
      </w:r>
      <w:r>
        <w:rPr>
          <w:rFonts w:hint="eastAsia" w:ascii="仿宋" w:hAnsi="仿宋" w:eastAsia="仿宋" w:cs="宋体"/>
          <w:b/>
          <w:bCs w:val="0"/>
          <w:color w:val="auto"/>
          <w:sz w:val="28"/>
          <w:szCs w:val="28"/>
        </w:rPr>
        <w:t>成交候选人</w:t>
      </w:r>
      <w:r>
        <w:rPr>
          <w:rFonts w:hint="eastAsia" w:ascii="仿宋" w:hAnsi="仿宋" w:eastAsia="仿宋" w:cs="宋体"/>
          <w:bCs/>
          <w:color w:val="auto"/>
          <w:sz w:val="28"/>
          <w:szCs w:val="28"/>
        </w:rPr>
        <w:t>。</w:t>
      </w:r>
      <w:r>
        <w:rPr>
          <w:rFonts w:hint="eastAsia" w:ascii="仿宋" w:hAnsi="仿宋" w:eastAsia="仿宋" w:cs="宋体"/>
          <w:b/>
          <w:bCs/>
          <w:color w:val="auto"/>
          <w:sz w:val="28"/>
          <w:szCs w:val="28"/>
        </w:rPr>
        <w:t>由</w:t>
      </w:r>
      <w:r>
        <w:rPr>
          <w:rFonts w:hint="eastAsia" w:ascii="仿宋" w:hAnsi="仿宋" w:eastAsia="仿宋" w:cs="宋体"/>
          <w:b/>
          <w:bCs/>
          <w:sz w:val="28"/>
          <w:szCs w:val="28"/>
        </w:rPr>
        <w:t>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Cs/>
          <w:sz w:val="28"/>
          <w:szCs w:val="28"/>
        </w:rPr>
      </w:pPr>
      <w:r>
        <w:rPr>
          <w:rFonts w:hint="eastAsia" w:ascii="仿宋" w:hAnsi="仿宋" w:eastAsia="仿宋" w:cs="宋体"/>
          <w:bCs/>
          <w:sz w:val="28"/>
          <w:szCs w:val="28"/>
        </w:rPr>
        <w:t>5、成交供应商拒绝与采购人签订合同的，采购人可以按照评审报告推荐的成交候选人名单排序，确定下一候选人为成交供应商，也可以重新开展政府采购活动。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Cs/>
          <w:sz w:val="28"/>
          <w:szCs w:val="28"/>
        </w:rPr>
      </w:pPr>
      <w:r>
        <w:rPr>
          <w:rFonts w:ascii="仿宋" w:hAnsi="仿宋" w:eastAsia="仿宋" w:cs="宋体"/>
          <w:bCs/>
          <w:sz w:val="28"/>
          <w:szCs w:val="28"/>
        </w:rPr>
        <w:br w:type="page"/>
      </w:r>
    </w:p>
    <w:p>
      <w:pPr>
        <w:ind w:firstLine="1280" w:firstLineChars="40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2025年食品安全宣传项目评分标准</w:t>
      </w:r>
    </w:p>
    <w:p>
      <w:pPr>
        <w:ind w:firstLine="1280" w:firstLineChars="4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遴选单位名称：</w:t>
      </w:r>
    </w:p>
    <w:tbl>
      <w:tblPr>
        <w:tblStyle w:val="9"/>
        <w:tblpPr w:leftFromText="180" w:rightFromText="180" w:vertAnchor="page" w:horzAnchor="page" w:tblpXSpec="center" w:tblpY="3048"/>
        <w:tblOverlap w:val="never"/>
        <w:tblW w:w="16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2126"/>
        <w:gridCol w:w="831"/>
        <w:gridCol w:w="7633"/>
        <w:gridCol w:w="4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spacing w:before="100" w:after="100"/>
              <w:jc w:val="both"/>
              <w:rPr>
                <w:rFonts w:hint="eastAsia" w:ascii="宋体" w:hAnsi="宋体" w:eastAsia="宋体" w:cs="宋体"/>
                <w:b/>
                <w:sz w:val="21"/>
                <w:szCs w:val="21"/>
              </w:rPr>
            </w:pPr>
            <w:r>
              <w:rPr>
                <w:rFonts w:hint="eastAsia" w:ascii="宋体" w:hAnsi="宋体" w:eastAsia="宋体" w:cs="Times New Roman"/>
                <w:b/>
                <w:sz w:val="21"/>
                <w:szCs w:val="21"/>
              </w:rPr>
              <w:t>内容</w:t>
            </w:r>
          </w:p>
        </w:tc>
        <w:tc>
          <w:tcPr>
            <w:tcW w:w="2126"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评分内容</w:t>
            </w:r>
          </w:p>
        </w:tc>
        <w:tc>
          <w:tcPr>
            <w:tcW w:w="831"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分值</w:t>
            </w:r>
          </w:p>
        </w:tc>
        <w:tc>
          <w:tcPr>
            <w:tcW w:w="7633"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评标标准</w:t>
            </w:r>
          </w:p>
        </w:tc>
        <w:tc>
          <w:tcPr>
            <w:tcW w:w="4263"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hint="eastAsia" w:ascii="宋体" w:hAnsi="宋体" w:eastAsia="宋体" w:cs="Times New Roman"/>
                <w:b/>
                <w:sz w:val="21"/>
                <w:szCs w:val="21"/>
                <w:lang w:eastAsia="zh-CN"/>
              </w:rPr>
            </w:pPr>
            <w:r>
              <w:rPr>
                <w:rFonts w:hint="eastAsia" w:ascii="宋体" w:hAnsi="宋体" w:cs="Times New Roman"/>
                <w:b/>
                <w:sz w:val="21"/>
                <w:szCs w:val="21"/>
                <w:lang w:eastAsia="zh-CN"/>
              </w:rPr>
              <w:t>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jc w:val="center"/>
        </w:trPr>
        <w:tc>
          <w:tcPr>
            <w:tcW w:w="1188" w:type="dxa"/>
            <w:vMerge w:val="restart"/>
            <w:tcBorders>
              <w:top w:val="single" w:color="000000" w:sz="8" w:space="0"/>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r>
              <w:rPr>
                <w:rFonts w:hint="eastAsia" w:ascii="仿宋_GB2312" w:hAnsi="宋体" w:eastAsia="仿宋_GB2312" w:cs="Times New Roman"/>
                <w:sz w:val="21"/>
                <w:szCs w:val="21"/>
              </w:rPr>
              <w:t>商务部分</w:t>
            </w: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45分</w:t>
            </w:r>
            <w:r>
              <w:rPr>
                <w:rFonts w:hint="eastAsia" w:ascii="仿宋_GB2312" w:hAnsi="宋体" w:eastAsia="仿宋_GB2312" w:cs="Times New Roman"/>
                <w:sz w:val="21"/>
                <w:szCs w:val="21"/>
                <w:lang w:eastAsia="zh-CN"/>
              </w:rPr>
              <w:t>）</w:t>
            </w:r>
          </w:p>
        </w:tc>
        <w:tc>
          <w:tcPr>
            <w:tcW w:w="2126"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承担国家行政机关相关项目</w:t>
            </w:r>
          </w:p>
        </w:tc>
        <w:tc>
          <w:tcPr>
            <w:tcW w:w="831"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633"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五</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年起至本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公告发布前，以合同签订日期为准）承担</w:t>
            </w:r>
            <w:r>
              <w:rPr>
                <w:rFonts w:hint="eastAsia" w:ascii="仿宋_GB2312" w:hAnsi="仿宋_GB2312" w:eastAsia="仿宋_GB2312" w:cs="仿宋_GB2312"/>
                <w:kern w:val="0"/>
                <w:sz w:val="21"/>
                <w:szCs w:val="21"/>
                <w:lang w:eastAsia="zh-CN"/>
              </w:rPr>
              <w:t>国家行政机关食品相关领域的</w:t>
            </w:r>
            <w:r>
              <w:rPr>
                <w:rFonts w:hint="eastAsia" w:ascii="仿宋_GB2312" w:hAnsi="仿宋_GB2312" w:eastAsia="仿宋_GB2312" w:cs="仿宋_GB2312"/>
                <w:kern w:val="0"/>
                <w:sz w:val="21"/>
                <w:szCs w:val="21"/>
              </w:rPr>
              <w:t>项目业绩进行评价</w:t>
            </w:r>
            <w:r>
              <w:rPr>
                <w:rFonts w:hint="eastAsia" w:ascii="仿宋_GB2312" w:hAnsi="仿宋_GB2312" w:eastAsia="仿宋_GB2312" w:cs="仿宋_GB2312"/>
                <w:kern w:val="0"/>
                <w:sz w:val="21"/>
                <w:szCs w:val="21"/>
                <w:lang w:eastAsia="zh-CN"/>
              </w:rPr>
              <w:t>。</w:t>
            </w:r>
          </w:p>
          <w:p>
            <w:pPr>
              <w:widowControl w:val="0"/>
              <w:spacing w:after="120"/>
              <w:ind w:left="420" w:leftChars="200" w:firstLine="400" w:firstLineChars="200"/>
              <w:jc w:val="both"/>
              <w:rPr>
                <w:rFonts w:hint="eastAsia" w:ascii="Calibri" w:hAnsi="Calibri" w:eastAsia="宋体" w:cs="Times New Roman"/>
                <w:kern w:val="0"/>
                <w:sz w:val="20"/>
                <w:szCs w:val="24"/>
                <w:lang w:val="en-US" w:eastAsia="zh-CN" w:bidi="ar-SA"/>
              </w:rPr>
            </w:pPr>
          </w:p>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每承接1个</w:t>
            </w:r>
            <w:r>
              <w:rPr>
                <w:rFonts w:hint="eastAsia" w:ascii="仿宋_GB2312" w:hAnsi="仿宋_GB2312" w:eastAsia="仿宋_GB2312" w:cs="仿宋_GB2312"/>
                <w:kern w:val="0"/>
                <w:sz w:val="21"/>
                <w:szCs w:val="21"/>
                <w:lang w:eastAsia="zh-CN"/>
              </w:rPr>
              <w:t>类似规模的项目业绩得</w:t>
            </w:r>
            <w:r>
              <w:rPr>
                <w:rFonts w:hint="eastAsia" w:ascii="仿宋_GB2312" w:hAnsi="仿宋_GB2312" w:eastAsia="仿宋_GB2312" w:cs="仿宋_GB2312"/>
                <w:kern w:val="0"/>
                <w:sz w:val="21"/>
                <w:szCs w:val="21"/>
                <w:lang w:val="en-US" w:eastAsia="zh-CN"/>
              </w:rPr>
              <w:t>5分，</w:t>
            </w:r>
            <w:r>
              <w:rPr>
                <w:rFonts w:hint="eastAsia" w:ascii="仿宋_GB2312" w:hAnsi="仿宋_GB2312" w:eastAsia="仿宋_GB2312" w:cs="仿宋_GB2312"/>
                <w:kern w:val="0"/>
                <w:sz w:val="21"/>
                <w:szCs w:val="21"/>
                <w:lang w:eastAsia="zh-CN"/>
              </w:rPr>
              <w:t>最多得</w:t>
            </w:r>
            <w:r>
              <w:rPr>
                <w:rFonts w:hint="eastAsia" w:ascii="仿宋_GB2312" w:hAnsi="仿宋_GB2312" w:eastAsia="仿宋_GB2312" w:cs="仿宋_GB2312"/>
                <w:kern w:val="0"/>
                <w:sz w:val="21"/>
                <w:szCs w:val="21"/>
              </w:rPr>
              <w:t>10分。注：</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1"/>
                <w:szCs w:val="21"/>
                <w:lang w:eastAsia="zh-CN"/>
              </w:rPr>
              <w:t>。</w:t>
            </w:r>
          </w:p>
        </w:tc>
        <w:tc>
          <w:tcPr>
            <w:tcW w:w="4263"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承担类似项目业绩</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五</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年起至本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公告发布前，以合同签订日期为准）承担与本项目类似的</w:t>
            </w:r>
            <w:r>
              <w:rPr>
                <w:rFonts w:hint="eastAsia" w:ascii="仿宋_GB2312" w:hAnsi="仿宋_GB2312" w:eastAsia="仿宋_GB2312" w:cs="仿宋_GB2312"/>
                <w:kern w:val="0"/>
                <w:sz w:val="21"/>
                <w:szCs w:val="21"/>
                <w:lang w:eastAsia="zh-CN"/>
              </w:rPr>
              <w:t>食品相关领域</w:t>
            </w:r>
            <w:r>
              <w:rPr>
                <w:rFonts w:hint="eastAsia" w:ascii="仿宋_GB2312" w:hAnsi="仿宋_GB2312" w:eastAsia="仿宋_GB2312" w:cs="仿宋_GB2312"/>
                <w:kern w:val="0"/>
                <w:sz w:val="21"/>
                <w:szCs w:val="21"/>
              </w:rPr>
              <w:t>项目</w:t>
            </w:r>
            <w:r>
              <w:rPr>
                <w:rFonts w:hint="eastAsia" w:ascii="仿宋_GB2312" w:hAnsi="仿宋_GB2312" w:eastAsia="仿宋_GB2312" w:cs="仿宋_GB2312"/>
                <w:sz w:val="21"/>
                <w:szCs w:val="21"/>
              </w:rPr>
              <w:t>业绩进行评价</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每承接1个</w:t>
            </w:r>
            <w:r>
              <w:rPr>
                <w:rFonts w:hint="eastAsia" w:ascii="仿宋_GB2312" w:hAnsi="仿宋_GB2312" w:eastAsia="仿宋_GB2312" w:cs="仿宋_GB2312"/>
                <w:sz w:val="21"/>
                <w:szCs w:val="21"/>
                <w:lang w:eastAsia="zh-CN"/>
              </w:rPr>
              <w:t>类似规模的项目业绩得</w:t>
            </w:r>
            <w:r>
              <w:rPr>
                <w:rFonts w:hint="eastAsia" w:ascii="仿宋_GB2312" w:hAnsi="仿宋_GB2312" w:eastAsia="仿宋_GB2312" w:cs="仿宋_GB2312"/>
                <w:sz w:val="21"/>
                <w:szCs w:val="21"/>
                <w:lang w:val="en-US" w:eastAsia="zh-CN"/>
              </w:rPr>
              <w:t>2分，</w:t>
            </w:r>
            <w:r>
              <w:rPr>
                <w:rFonts w:hint="eastAsia" w:ascii="仿宋_GB2312" w:hAnsi="仿宋_GB2312" w:eastAsia="仿宋_GB2312" w:cs="仿宋_GB2312"/>
                <w:sz w:val="21"/>
                <w:szCs w:val="21"/>
                <w:lang w:eastAsia="zh-CN"/>
              </w:rPr>
              <w:t>最多得</w:t>
            </w:r>
            <w:r>
              <w:rPr>
                <w:rFonts w:hint="eastAsia" w:ascii="仿宋_GB2312" w:hAnsi="仿宋_GB2312" w:eastAsia="仿宋_GB2312" w:cs="仿宋_GB2312"/>
                <w:sz w:val="21"/>
                <w:szCs w:val="21"/>
              </w:rPr>
              <w:t>10分。</w:t>
            </w:r>
            <w:r>
              <w:rPr>
                <w:rFonts w:hint="eastAsia" w:ascii="仿宋_GB2312" w:hAnsi="仿宋_GB2312" w:eastAsia="仿宋_GB2312" w:cs="仿宋_GB2312"/>
                <w:kern w:val="0"/>
                <w:sz w:val="21"/>
                <w:szCs w:val="21"/>
              </w:rPr>
              <w:t>注：</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1"/>
                <w:szCs w:val="21"/>
                <w:lang w:eastAsia="zh-CN"/>
              </w:rPr>
              <w:t>。</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师资</w:t>
            </w:r>
            <w:r>
              <w:rPr>
                <w:rFonts w:hint="eastAsia" w:ascii="仿宋_GB2312" w:hAnsi="宋体" w:eastAsia="仿宋_GB2312" w:cs="Times New Roman"/>
                <w:sz w:val="21"/>
                <w:szCs w:val="21"/>
                <w:lang w:eastAsia="zh-CN"/>
              </w:rPr>
              <w:t>力量</w:t>
            </w:r>
            <w:r>
              <w:rPr>
                <w:rFonts w:hint="eastAsia" w:ascii="仿宋_GB2312" w:hAnsi="宋体" w:eastAsia="仿宋_GB2312" w:cs="Times New Roman"/>
                <w:sz w:val="21"/>
                <w:szCs w:val="21"/>
              </w:rPr>
              <w:t>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0</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w:t>
            </w:r>
            <w:r>
              <w:rPr>
                <w:rFonts w:hint="eastAsia" w:ascii="仿宋_GB2312" w:hAnsi="仿宋_GB2312" w:eastAsia="仿宋_GB2312" w:cs="仿宋_GB2312"/>
                <w:sz w:val="21"/>
                <w:szCs w:val="21"/>
                <w:lang w:eastAsia="zh-CN"/>
              </w:rPr>
              <w:t>供应商拟派</w:t>
            </w:r>
            <w:r>
              <w:rPr>
                <w:rFonts w:hint="eastAsia" w:ascii="仿宋_GB2312" w:hAnsi="仿宋_GB2312" w:eastAsia="仿宋_GB2312" w:cs="仿宋_GB2312"/>
                <w:sz w:val="21"/>
                <w:szCs w:val="21"/>
              </w:rPr>
              <w:t>师资情况进行评价，</w:t>
            </w:r>
            <w:r>
              <w:rPr>
                <w:rFonts w:hint="eastAsia" w:ascii="仿宋_GB2312" w:hAnsi="仿宋_GB2312" w:eastAsia="仿宋_GB2312" w:cs="仿宋_GB2312"/>
                <w:sz w:val="21"/>
                <w:szCs w:val="21"/>
                <w:lang w:eastAsia="zh-CN"/>
              </w:rPr>
              <w:t>需提供拟派师资名单（包括姓名、工作单位、职称、擅长领域等）。</w:t>
            </w:r>
            <w:r>
              <w:rPr>
                <w:rFonts w:hint="eastAsia" w:ascii="仿宋_GB2312" w:hAnsi="仿宋_GB2312" w:eastAsia="仿宋_GB2312" w:cs="仿宋_GB2312"/>
                <w:sz w:val="21"/>
                <w:szCs w:val="21"/>
              </w:rPr>
              <w:t>其中：</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第一类：国家级政府政策制定部门师资不少于</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0人：</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分；</w:t>
            </w:r>
          </w:p>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eastAsia="zh-CN"/>
              </w:rPr>
              <w:t>二</w:t>
            </w:r>
            <w:r>
              <w:rPr>
                <w:rFonts w:hint="eastAsia" w:ascii="仿宋_GB2312" w:hAnsi="仿宋_GB2312" w:eastAsia="仿宋_GB2312" w:cs="仿宋_GB2312"/>
                <w:sz w:val="21"/>
                <w:szCs w:val="21"/>
              </w:rPr>
              <w:t>类：</w:t>
            </w:r>
            <w:r>
              <w:rPr>
                <w:rFonts w:hint="eastAsia" w:ascii="仿宋_GB2312" w:hAnsi="仿宋_GB2312" w:eastAsia="仿宋_GB2312" w:cs="仿宋_GB2312"/>
                <w:sz w:val="21"/>
                <w:szCs w:val="21"/>
                <w:lang w:eastAsia="zh-CN"/>
              </w:rPr>
              <w:t>供应商食品</w:t>
            </w:r>
            <w:r>
              <w:rPr>
                <w:rFonts w:hint="eastAsia" w:ascii="仿宋_GB2312" w:hAnsi="仿宋_GB2312" w:eastAsia="仿宋_GB2312" w:cs="仿宋_GB2312"/>
                <w:sz w:val="21"/>
                <w:szCs w:val="21"/>
              </w:rPr>
              <w:t>专业</w:t>
            </w:r>
            <w:r>
              <w:rPr>
                <w:rFonts w:hint="eastAsia" w:ascii="仿宋_GB2312" w:hAnsi="仿宋_GB2312" w:eastAsia="仿宋_GB2312" w:cs="仿宋_GB2312"/>
                <w:sz w:val="21"/>
                <w:szCs w:val="21"/>
                <w:lang w:eastAsia="zh-CN"/>
              </w:rPr>
              <w:t>技术人员</w:t>
            </w:r>
            <w:r>
              <w:rPr>
                <w:rFonts w:hint="eastAsia" w:ascii="仿宋_GB2312" w:hAnsi="仿宋_GB2312" w:eastAsia="仿宋_GB2312" w:cs="仿宋_GB2312"/>
                <w:sz w:val="21"/>
                <w:szCs w:val="21"/>
              </w:rPr>
              <w:t>不少于</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（其中高级职称人员每提供一人得</w:t>
            </w:r>
            <w:r>
              <w:rPr>
                <w:rFonts w:hint="eastAsia" w:ascii="仿宋_GB2312" w:hAnsi="仿宋_GB2312" w:eastAsia="仿宋_GB2312" w:cs="仿宋_GB2312"/>
                <w:sz w:val="21"/>
                <w:szCs w:val="21"/>
                <w:lang w:val="en-US" w:eastAsia="zh-CN"/>
              </w:rPr>
              <w:t>2分，初、中级职称人员每提供一个得1分。提供人员职称证书复印件</w:t>
            </w:r>
            <w:r>
              <w:rPr>
                <w:rFonts w:hint="eastAsia" w:ascii="仿宋_GB2312" w:hAnsi="仿宋_GB2312" w:eastAsia="仿宋_GB2312" w:cs="仿宋_GB2312"/>
                <w:sz w:val="21"/>
                <w:szCs w:val="21"/>
                <w:lang w:eastAsia="zh-CN"/>
              </w:rPr>
              <w:t>）</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拟投入的项目负责人评价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项目负责人具有</w:t>
            </w:r>
            <w:r>
              <w:rPr>
                <w:rFonts w:hint="eastAsia" w:ascii="仿宋_GB2312" w:hAnsi="仿宋_GB2312" w:eastAsia="仿宋_GB2312" w:cs="仿宋_GB2312"/>
                <w:sz w:val="21"/>
                <w:szCs w:val="21"/>
                <w:lang w:eastAsia="zh-CN"/>
              </w:rPr>
              <w:t>高级</w:t>
            </w:r>
            <w:r>
              <w:rPr>
                <w:rFonts w:hint="eastAsia" w:ascii="仿宋_GB2312" w:hAnsi="仿宋_GB2312" w:eastAsia="仿宋_GB2312" w:cs="仿宋_GB2312"/>
                <w:sz w:val="21"/>
                <w:szCs w:val="21"/>
              </w:rPr>
              <w:t>职称，且曾经参与</w:t>
            </w:r>
            <w:r>
              <w:rPr>
                <w:rFonts w:hint="eastAsia" w:ascii="仿宋_GB2312" w:hAnsi="仿宋_GB2312" w:eastAsia="仿宋_GB2312" w:cs="仿宋_GB2312"/>
                <w:sz w:val="21"/>
                <w:szCs w:val="21"/>
                <w:lang w:eastAsia="zh-CN"/>
              </w:rPr>
              <w:t>国家类似项目</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符合上述全部要求的得5分，</w:t>
            </w:r>
            <w:r>
              <w:rPr>
                <w:rFonts w:hint="eastAsia" w:ascii="仿宋_GB2312" w:hAnsi="仿宋_GB2312" w:eastAsia="仿宋_GB2312" w:cs="仿宋_GB2312"/>
                <w:sz w:val="21"/>
                <w:szCs w:val="21"/>
                <w:lang w:eastAsia="zh-CN"/>
              </w:rPr>
              <w:t>每不满足</w:t>
            </w:r>
            <w:r>
              <w:rPr>
                <w:rFonts w:hint="eastAsia" w:ascii="仿宋_GB2312" w:hAnsi="仿宋_GB2312" w:eastAsia="仿宋_GB2312" w:cs="仿宋_GB2312"/>
                <w:sz w:val="21"/>
                <w:szCs w:val="21"/>
                <w:lang w:val="en-US" w:eastAsia="zh-CN"/>
              </w:rPr>
              <w:t>1项要求扣2.5分，扣完为止。（提供相关资料，合同或其他证明文件）</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restart"/>
            <w:tcBorders>
              <w:top w:val="nil"/>
              <w:left w:val="single" w:color="000000" w:sz="8" w:space="0"/>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rPr>
            </w:pPr>
            <w:r>
              <w:rPr>
                <w:rFonts w:hint="eastAsia" w:ascii="仿宋_GB2312" w:hAnsi="宋体" w:eastAsia="仿宋_GB2312" w:cs="Times New Roman"/>
                <w:sz w:val="21"/>
                <w:szCs w:val="21"/>
              </w:rPr>
              <w:t>技术部分</w:t>
            </w: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55分</w:t>
            </w:r>
            <w:r>
              <w:rPr>
                <w:rFonts w:hint="eastAsia" w:ascii="仿宋_GB2312" w:hAnsi="宋体" w:eastAsia="仿宋_GB2312" w:cs="Times New Roman"/>
                <w:sz w:val="21"/>
                <w:szCs w:val="21"/>
                <w:lang w:eastAsia="zh-CN"/>
              </w:rPr>
              <w:t>）</w:t>
            </w: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针对本项目特点的专业化实施方案评价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针对本项目遴选需求提供①本项目宣传方案</w:t>
            </w:r>
            <w:r>
              <w:rPr>
                <w:rFonts w:hint="eastAsia" w:ascii="仿宋_GB2312" w:hAnsi="仿宋_GB2312" w:eastAsia="仿宋_GB2312" w:cs="仿宋_GB2312"/>
                <w:sz w:val="21"/>
                <w:szCs w:val="21"/>
                <w:lang w:val="en-US" w:eastAsia="zh-CN"/>
              </w:rPr>
              <w:t>②预期宣传效果</w:t>
            </w: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10分，内容进行了详细的论述且满足遴选需求得10分，内容虽阐述但未贴合项目实际情况或内容未包括具体实施细节及措施得5分，内容未进行阐述或不满足遴选需求得0分。</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对项目重点、难点的理解</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0</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对项目建设背景及项目建设需求理解充分，对需求分析准确，对项目认识深入、并结合</w:t>
            </w:r>
            <w:r>
              <w:rPr>
                <w:rFonts w:hint="eastAsia" w:ascii="仿宋_GB2312" w:hAnsi="仿宋_GB2312" w:eastAsia="仿宋_GB2312" w:cs="仿宋_GB2312"/>
                <w:sz w:val="21"/>
                <w:szCs w:val="21"/>
                <w:lang w:eastAsia="zh-CN"/>
              </w:rPr>
              <w:t>服务需求对供应商</w:t>
            </w:r>
            <w:r>
              <w:rPr>
                <w:rFonts w:hint="eastAsia" w:ascii="仿宋_GB2312" w:hAnsi="仿宋_GB2312" w:eastAsia="仿宋_GB2312" w:cs="仿宋_GB2312"/>
                <w:sz w:val="21"/>
                <w:szCs w:val="21"/>
              </w:rPr>
              <w:t>资质、经验等特点进行详细的分析，且满足</w:t>
            </w:r>
            <w:r>
              <w:rPr>
                <w:rFonts w:hint="eastAsia" w:ascii="仿宋_GB2312" w:hAnsi="仿宋_GB2312" w:eastAsia="仿宋_GB2312" w:cs="仿宋_GB2312"/>
                <w:sz w:val="21"/>
                <w:szCs w:val="21"/>
                <w:lang w:eastAsia="zh-CN"/>
              </w:rPr>
              <w:t>遴选</w:t>
            </w:r>
            <w:r>
              <w:rPr>
                <w:rFonts w:hint="eastAsia" w:ascii="仿宋_GB2312" w:hAnsi="仿宋_GB2312" w:eastAsia="仿宋_GB2312" w:cs="仿宋_GB2312"/>
                <w:sz w:val="21"/>
                <w:szCs w:val="21"/>
              </w:rPr>
              <w:t>要求。需包含业务需求（2分）、</w:t>
            </w:r>
            <w:r>
              <w:rPr>
                <w:rFonts w:hint="eastAsia" w:ascii="仿宋_GB2312" w:hAnsi="仿宋_GB2312" w:eastAsia="仿宋_GB2312" w:cs="仿宋_GB2312"/>
                <w:sz w:val="21"/>
                <w:szCs w:val="21"/>
                <w:lang w:eastAsia="zh-CN"/>
              </w:rPr>
              <w:t>宣传</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师资</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宣传效果</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项目管理</w:t>
            </w:r>
            <w:r>
              <w:rPr>
                <w:rFonts w:hint="eastAsia" w:ascii="仿宋_GB2312" w:hAnsi="仿宋_GB2312" w:eastAsia="仿宋_GB2312" w:cs="仿宋_GB2312"/>
                <w:sz w:val="21"/>
                <w:szCs w:val="21"/>
              </w:rPr>
              <w:t>需求（2分）。</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完全满足上述描述的得10分，有一项未阐述或不满足上述描述的扣2分，扣完为止。</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进度安排评价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供应商需提供针对本项目的进度安排计划，本项内容满分</w:t>
            </w:r>
            <w:r>
              <w:rPr>
                <w:rFonts w:hint="eastAsia" w:ascii="仿宋_GB2312" w:hAnsi="仿宋_GB2312" w:eastAsia="仿宋_GB2312" w:cs="仿宋_GB2312"/>
                <w:sz w:val="21"/>
                <w:szCs w:val="21"/>
                <w:lang w:val="en-US" w:eastAsia="zh-CN"/>
              </w:rPr>
              <w:t>10分，内容进行了详细的论述且满足需求得10分，内容虽阐述但未贴合项目实际情况或内容未包括具体实施细节及措施得5分，内容未进行阐述或不满足遴选需求得0分</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在服务过程中配合、沟通方案评价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供应商须提供沟通机制，内容包括①服务人员安排②沟通方案，要求</w:t>
            </w:r>
            <w:r>
              <w:rPr>
                <w:rFonts w:hint="eastAsia" w:ascii="仿宋_GB2312" w:hAnsi="仿宋_GB2312" w:eastAsia="仿宋_GB2312" w:cs="仿宋_GB2312"/>
                <w:sz w:val="21"/>
                <w:szCs w:val="21"/>
              </w:rPr>
              <w:t>有专人定期沟通，配合</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5分，内容进行了详细的论述且满足需求得5分，内容虽阐述但未贴合项目实际情况或内容未包括具体实施细节及措施得3分，内容未进行阐述或不满足需求得0分</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nil"/>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结合本项目的实际情况，提供的</w:t>
            </w:r>
            <w:r>
              <w:rPr>
                <w:rFonts w:hint="eastAsia" w:ascii="仿宋_GB2312" w:hAnsi="宋体" w:eastAsia="仿宋_GB2312" w:cs="Times New Roman"/>
                <w:sz w:val="21"/>
                <w:szCs w:val="21"/>
                <w:lang w:eastAsia="zh-CN"/>
              </w:rPr>
              <w:t>增值服务</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供应商针对本项目提供增值服务，本项内容满分</w:t>
            </w:r>
            <w:r>
              <w:rPr>
                <w:rFonts w:hint="eastAsia" w:ascii="仿宋_GB2312" w:hAnsi="仿宋_GB2312" w:eastAsia="仿宋_GB2312" w:cs="仿宋_GB2312"/>
                <w:sz w:val="21"/>
                <w:szCs w:val="21"/>
                <w:lang w:val="en-US" w:eastAsia="zh-CN"/>
              </w:rPr>
              <w:t>5分，具有可操作性，每提供一条得1分，满分5分。</w:t>
            </w:r>
            <w:bookmarkStart w:id="0" w:name="_GoBack"/>
            <w:bookmarkEnd w:id="0"/>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lang w:eastAsia="zh-CN"/>
              </w:rPr>
              <w:t>总分</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bl>
    <w:p>
      <w:pPr>
        <w:widowControl w:val="0"/>
        <w:spacing w:after="120"/>
        <w:ind w:left="420" w:leftChars="200" w:firstLine="400" w:firstLineChars="200"/>
        <w:jc w:val="both"/>
        <w:rPr>
          <w:rFonts w:hint="eastAsia" w:ascii="Calibri" w:hAnsi="Calibri" w:eastAsia="宋体" w:cs="Times New Roman"/>
          <w:kern w:val="0"/>
          <w:sz w:val="20"/>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469" w:beforeLines="150" w:line="300" w:lineRule="exact"/>
        <w:ind w:left="0" w:leftChars="0" w:right="0" w:rightChars="0" w:firstLine="0" w:firstLineChars="0"/>
        <w:jc w:val="both"/>
        <w:textAlignment w:val="auto"/>
        <w:outlineLvl w:val="9"/>
        <w:rPr>
          <w:rFonts w:hint="eastAsia" w:ascii="Times New Roman" w:hAnsi="Times New Roman" w:eastAsia="华文仿宋" w:cs="Times New Roman"/>
          <w:sz w:val="32"/>
          <w:szCs w:val="32"/>
          <w:lang w:val="en-US" w:eastAsia="zh-CN"/>
        </w:rPr>
      </w:pPr>
      <w:r>
        <w:rPr>
          <w:rFonts w:hint="eastAsia" w:ascii="Times New Roman" w:hAnsi="Times New Roman" w:eastAsia="华文仿宋" w:cs="Times New Roman"/>
          <w:sz w:val="32"/>
          <w:szCs w:val="32"/>
          <w:lang w:val="en-US" w:eastAsia="zh-CN"/>
        </w:rPr>
        <w:t>专家签字：</w:t>
      </w:r>
    </w:p>
    <w:p>
      <w:pPr>
        <w:keepNext w:val="0"/>
        <w:keepLines w:val="0"/>
        <w:pageBreakBefore w:val="0"/>
        <w:widowControl w:val="0"/>
        <w:kinsoku/>
        <w:wordWrap/>
        <w:overflowPunct/>
        <w:topLinePunct w:val="0"/>
        <w:autoSpaceDE/>
        <w:autoSpaceDN/>
        <w:bidi w:val="0"/>
        <w:adjustRightInd/>
        <w:snapToGrid/>
        <w:spacing w:before="469" w:beforeLines="150" w:line="300" w:lineRule="exact"/>
        <w:ind w:left="0" w:leftChars="0" w:right="0" w:rightChars="0" w:firstLine="0" w:firstLineChars="0"/>
        <w:jc w:val="both"/>
        <w:textAlignment w:val="auto"/>
        <w:outlineLvl w:val="9"/>
        <w:rPr>
          <w:rFonts w:hint="eastAsia" w:ascii="Times New Roman" w:hAnsi="Times New Roman" w:eastAsia="华文仿宋" w:cs="Times New Roman"/>
          <w:sz w:val="32"/>
          <w:szCs w:val="32"/>
          <w:lang w:eastAsia="zh-CN"/>
        </w:rPr>
      </w:pPr>
      <w:r>
        <w:rPr>
          <w:rFonts w:hint="eastAsia" w:ascii="Times New Roman" w:hAnsi="Times New Roman" w:eastAsia="华文仿宋" w:cs="Times New Roman"/>
          <w:sz w:val="32"/>
          <w:szCs w:val="32"/>
          <w:lang w:val="en-US" w:eastAsia="zh-CN"/>
        </w:rPr>
        <w:t>日期：</w:t>
      </w:r>
    </w:p>
    <w:p>
      <w:pPr>
        <w:keepNext w:val="0"/>
        <w:keepLines w:val="0"/>
        <w:pageBreakBefore w:val="0"/>
        <w:widowControl w:val="0"/>
        <w:kinsoku/>
        <w:wordWrap/>
        <w:overflowPunct/>
        <w:topLinePunct w:val="0"/>
        <w:autoSpaceDE/>
        <w:autoSpaceDN/>
        <w:bidi w:val="0"/>
        <w:adjustRightInd/>
        <w:snapToGrid/>
        <w:spacing w:before="469" w:beforeLines="150" w:line="600" w:lineRule="exact"/>
        <w:ind w:left="0" w:leftChars="0" w:right="0" w:rightChars="0" w:firstLine="0" w:firstLineChars="0"/>
        <w:jc w:val="both"/>
        <w:textAlignment w:val="auto"/>
        <w:outlineLvl w:val="9"/>
        <w:rPr>
          <w:rFonts w:hint="eastAsia" w:ascii="Times New Roman" w:hAnsi="Times New Roman" w:eastAsia="华文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469" w:beforeLines="150" w:line="600" w:lineRule="exact"/>
        <w:ind w:left="0" w:leftChars="0" w:right="0" w:rightChars="0" w:firstLine="0" w:firstLineChars="0"/>
        <w:jc w:val="center"/>
        <w:textAlignment w:val="auto"/>
        <w:outlineLvl w:val="9"/>
        <w:rPr>
          <w:rFonts w:hint="eastAsia" w:ascii="Times New Roman" w:hAnsi="Times New Roman" w:eastAsia="华文仿宋" w:cs="Times New Roman"/>
          <w:sz w:val="32"/>
          <w:szCs w:val="32"/>
          <w:lang w:eastAsia="zh-CN"/>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ascii="Times New Roman" w:hAnsi="Times New Roman" w:eastAsia="宋体" w:cs="Times New Roman"/>
          <w:szCs w:val="20"/>
          <w:lang w:val="en-US"/>
        </w:rPr>
      </w:pPr>
    </w:p>
    <w:p>
      <w:pPr>
        <w:spacing w:line="360" w:lineRule="auto"/>
        <w:jc w:val="both"/>
        <w:rPr>
          <w:rFonts w:ascii="仿宋" w:hAnsi="仿宋" w:eastAsia="仿宋" w:cs="宋体"/>
          <w:b/>
          <w:bCs/>
          <w:sz w:val="32"/>
          <w:szCs w:val="28"/>
        </w:rPr>
      </w:pPr>
    </w:p>
    <w:sectPr>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3FF78F96"/>
    <w:rsid w:val="473506D4"/>
    <w:rsid w:val="6CBB1553"/>
    <w:rsid w:val="6FCF9ECF"/>
    <w:rsid w:val="740F61DF"/>
    <w:rsid w:val="7CDDAA33"/>
    <w:rsid w:val="F557F5B2"/>
    <w:rsid w:val="FE97147C"/>
    <w:rsid w:val="FFB32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kern w:val="0"/>
      <w:sz w:val="20"/>
      <w:szCs w:val="24"/>
    </w:rPr>
  </w:style>
  <w:style w:type="paragraph" w:styleId="4">
    <w:name w:val="annotation text"/>
    <w:basedOn w:val="1"/>
    <w:link w:val="16"/>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unhideWhenUsed/>
    <w:qFormat/>
    <w:uiPriority w:val="99"/>
    <w:rPr>
      <w:b/>
      <w:bCs/>
    </w:rPr>
  </w:style>
  <w:style w:type="character" w:styleId="11">
    <w:name w:val="annotation reference"/>
    <w:basedOn w:val="10"/>
    <w:unhideWhenUsed/>
    <w:qFormat/>
    <w:uiPriority w:val="99"/>
    <w:rPr>
      <w:sz w:val="21"/>
      <w:szCs w:val="21"/>
    </w:rPr>
  </w:style>
  <w:style w:type="paragraph" w:customStyle="1" w:styleId="12">
    <w:name w:val="List Paragraph"/>
    <w:basedOn w:val="1"/>
    <w:link w:val="15"/>
    <w:qFormat/>
    <w:uiPriority w:val="34"/>
    <w:pPr>
      <w:ind w:firstLine="420" w:firstLineChars="200"/>
    </w:pPr>
    <w:rPr>
      <w:rFonts w:ascii="Calibri" w:hAnsi="Calibri"/>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列出段落 Char"/>
    <w:link w:val="12"/>
    <w:qFormat/>
    <w:uiPriority w:val="34"/>
    <w:rPr>
      <w:rFonts w:ascii="Calibri" w:hAnsi="Calibri"/>
    </w:rPr>
  </w:style>
  <w:style w:type="character" w:customStyle="1" w:styleId="16">
    <w:name w:val="批注文字 Char"/>
    <w:basedOn w:val="10"/>
    <w:link w:val="4"/>
    <w:semiHidden/>
    <w:qFormat/>
    <w:uiPriority w:val="99"/>
  </w:style>
  <w:style w:type="character" w:customStyle="1" w:styleId="17">
    <w:name w:val="批注主题 Char"/>
    <w:basedOn w:val="16"/>
    <w:link w:val="8"/>
    <w:semiHidden/>
    <w:qFormat/>
    <w:uiPriority w:val="99"/>
    <w:rPr>
      <w:b/>
      <w:bCs/>
    </w:rPr>
  </w:style>
  <w:style w:type="character" w:customStyle="1" w:styleId="18">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20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2022-04-21T04:00:00Z</dcterms:created>
  <dc:creator>强文晓</dc:creator>
  <cp:lastModifiedBy>user</cp:lastModifiedBy>
  <cp:lastPrinted>2024-04-02T08:13:00Z</cp:lastPrinted>
  <dcterms:modified xsi:type="dcterms:W3CDTF">2025-02-18T10:24:10Z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BB20B17547AF2C876249F265DF249A5E</vt:lpwstr>
  </property>
</Properties>
</file>