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highlight w:val="none"/>
              </w:rPr>
            </w:pPr>
            <w:r>
              <w:rPr>
                <w:rFonts w:hint="eastAsia" w:ascii="仿宋" w:hAnsi="仿宋" w:eastAsia="仿宋" w:cs="宋体"/>
                <w:kern w:val="0"/>
                <w:sz w:val="28"/>
                <w:szCs w:val="28"/>
                <w:highlight w:val="none"/>
              </w:rPr>
              <w:t>审查内容</w:t>
            </w:r>
          </w:p>
        </w:tc>
      </w:tr>
      <w:tr>
        <w:tblPrEx>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仿宋"/>
                <w:kern w:val="0"/>
                <w:sz w:val="28"/>
                <w:szCs w:val="28"/>
                <w:highlight w:val="none"/>
              </w:rPr>
            </w:pPr>
            <w:r>
              <w:rPr>
                <w:rFonts w:hint="eastAsia" w:ascii="仿宋" w:hAnsi="仿宋" w:eastAsia="仿宋" w:cs="仿宋"/>
                <w:sz w:val="28"/>
                <w:szCs w:val="28"/>
                <w:highlight w:val="none"/>
              </w:rPr>
              <w:t>三证合一的营业执照或事业单位法人证书复印件（须加盖本单位公章）</w:t>
            </w:r>
          </w:p>
        </w:tc>
      </w:tr>
      <w:tr>
        <w:tblPrEx>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仿宋"/>
                <w:kern w:val="0"/>
                <w:sz w:val="28"/>
                <w:szCs w:val="28"/>
                <w:highlight w:val="none"/>
              </w:rPr>
            </w:pPr>
            <w:r>
              <w:rPr>
                <w:rFonts w:hint="eastAsia" w:ascii="仿宋" w:hAnsi="仿宋" w:eastAsia="仿宋" w:cs="仿宋"/>
                <w:sz w:val="28"/>
                <w:szCs w:val="28"/>
                <w:highlight w:val="none"/>
              </w:rPr>
              <w:t>遴选报价不超过遴选文件规定预算金额</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highlight w:val="none"/>
              </w:rPr>
            </w:pPr>
            <w:r>
              <w:rPr>
                <w:rFonts w:hint="eastAsia" w:ascii="仿宋" w:hAnsi="仿宋" w:eastAsia="仿宋" w:cs="仿宋"/>
                <w:sz w:val="28"/>
                <w:szCs w:val="28"/>
                <w:highlight w:val="none"/>
              </w:rPr>
              <w:t>遴选文件的签署、盖章合格</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highlight w:val="none"/>
              </w:rPr>
            </w:pPr>
            <w:r>
              <w:rPr>
                <w:rFonts w:hint="eastAsia" w:ascii="仿宋" w:hAnsi="仿宋" w:eastAsia="仿宋" w:cs="仿宋"/>
                <w:sz w:val="28"/>
                <w:szCs w:val="28"/>
                <w:highlight w:val="none"/>
              </w:rPr>
              <w:t>参加本次遴选活动前三年内，在经营活动中没有重大违法记录的声明（供应商须提供此声明，法定法人或其授权代表签字，并加盖本单位公章）</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5</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highlight w:val="none"/>
              </w:rPr>
            </w:pPr>
            <w:r>
              <w:rPr>
                <w:rFonts w:hint="eastAsia" w:ascii="仿宋" w:hAnsi="仿宋" w:eastAsia="仿宋" w:cs="仿宋"/>
                <w:sz w:val="28"/>
                <w:szCs w:val="28"/>
                <w:highlight w:val="none"/>
              </w:rPr>
              <w:t>近三年内有过成功媒体宣传推广活动的单位优先考虑。</w:t>
            </w:r>
          </w:p>
        </w:tc>
      </w:tr>
      <w:tr>
        <w:tblPrEx>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5、如对本项目进行实质性响应的供应商不足2家但大于等于1家时，项目主办处室决定是否继续进行采购活动或延期遴选文件获取时间及递交申请文件时间。如继续进行采购活动，如评审小组按照遴选文件对供应商的申请文件综合打分不足60分时，项目主办处室可以选择本项目废标。</w:t>
      </w:r>
    </w:p>
    <w:p>
      <w:pPr>
        <w:spacing w:line="360" w:lineRule="auto"/>
        <w:rPr>
          <w:rFonts w:ascii="仿宋" w:hAnsi="仿宋" w:eastAsia="仿宋" w:cs="宋体"/>
          <w:bCs/>
          <w:sz w:val="28"/>
          <w:szCs w:val="28"/>
        </w:rPr>
      </w:pPr>
      <w:r>
        <w:rPr>
          <w:rFonts w:hint="eastAsia" w:ascii="仿宋" w:hAnsi="仿宋" w:eastAsia="仿宋" w:cs="宋体"/>
          <w:bCs/>
          <w:sz w:val="28"/>
          <w:szCs w:val="28"/>
        </w:rPr>
        <w:t>6、成交供应商拒绝与采购人签订合同的，采购人可以按照评审报告推荐的成交候选人名单排序，确定下一候选人为成交供应商，也可以重新开展采购活动。</w:t>
      </w: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tbl>
      <w:tblPr>
        <w:tblStyle w:val="10"/>
        <w:tblW w:w="8528" w:type="dxa"/>
        <w:tblInd w:w="0" w:type="dxa"/>
        <w:tblLayout w:type="fixed"/>
        <w:tblCellMar>
          <w:top w:w="0" w:type="dxa"/>
          <w:left w:w="108" w:type="dxa"/>
          <w:bottom w:w="0" w:type="dxa"/>
          <w:right w:w="108" w:type="dxa"/>
        </w:tblCellMar>
      </w:tblPr>
      <w:tblGrid>
        <w:gridCol w:w="1003"/>
        <w:gridCol w:w="1344"/>
        <w:gridCol w:w="4798"/>
        <w:gridCol w:w="1383"/>
      </w:tblGrid>
      <w:tr>
        <w:tblPrEx>
          <w:tblCellMar>
            <w:top w:w="0" w:type="dxa"/>
            <w:left w:w="108" w:type="dxa"/>
            <w:bottom w:w="0" w:type="dxa"/>
            <w:right w:w="108" w:type="dxa"/>
          </w:tblCellMar>
        </w:tblPrEx>
        <w:trPr>
          <w:trHeight w:val="592" w:hRule="atLeast"/>
        </w:trPr>
        <w:tc>
          <w:tcPr>
            <w:tcW w:w="10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Cs w:val="21"/>
                <w:highlight w:val="none"/>
              </w:rPr>
            </w:pPr>
            <w:r>
              <w:rPr>
                <w:rFonts w:hint="eastAsia" w:ascii="黑体" w:hAnsi="黑体" w:eastAsia="黑体" w:cs="黑体"/>
                <w:kern w:val="0"/>
                <w:szCs w:val="21"/>
                <w:highlight w:val="none"/>
              </w:rPr>
              <w:t>内容</w:t>
            </w:r>
          </w:p>
        </w:tc>
        <w:tc>
          <w:tcPr>
            <w:tcW w:w="1344" w:type="dxa"/>
            <w:tcBorders>
              <w:top w:val="single" w:color="auto" w:sz="4" w:space="0"/>
              <w:left w:val="nil"/>
              <w:bottom w:val="nil"/>
              <w:right w:val="single" w:color="auto" w:sz="4" w:space="0"/>
            </w:tcBorders>
            <w:vAlign w:val="center"/>
          </w:tcPr>
          <w:p>
            <w:pPr>
              <w:widowControl/>
              <w:jc w:val="center"/>
              <w:rPr>
                <w:rFonts w:ascii="黑体" w:hAnsi="黑体" w:eastAsia="黑体" w:cs="黑体"/>
                <w:kern w:val="0"/>
                <w:sz w:val="18"/>
                <w:szCs w:val="18"/>
                <w:highlight w:val="none"/>
              </w:rPr>
            </w:pPr>
            <w:r>
              <w:rPr>
                <w:rFonts w:hint="eastAsia" w:ascii="黑体" w:hAnsi="黑体" w:eastAsia="黑体" w:cs="黑体"/>
                <w:kern w:val="0"/>
                <w:sz w:val="18"/>
                <w:szCs w:val="18"/>
                <w:highlight w:val="none"/>
              </w:rPr>
              <w:t>评分因素分项</w:t>
            </w:r>
          </w:p>
        </w:tc>
        <w:tc>
          <w:tcPr>
            <w:tcW w:w="4798" w:type="dxa"/>
            <w:tcBorders>
              <w:top w:val="single" w:color="auto" w:sz="4" w:space="0"/>
              <w:left w:val="nil"/>
              <w:bottom w:val="nil"/>
              <w:right w:val="single" w:color="auto" w:sz="4" w:space="0"/>
            </w:tcBorders>
            <w:vAlign w:val="center"/>
          </w:tcPr>
          <w:p>
            <w:pPr>
              <w:widowControl/>
              <w:jc w:val="center"/>
              <w:rPr>
                <w:rFonts w:ascii="黑体" w:hAnsi="黑体" w:eastAsia="黑体" w:cs="黑体"/>
                <w:kern w:val="0"/>
                <w:sz w:val="18"/>
                <w:szCs w:val="18"/>
                <w:highlight w:val="none"/>
              </w:rPr>
            </w:pPr>
            <w:r>
              <w:rPr>
                <w:rFonts w:hint="eastAsia" w:ascii="黑体" w:hAnsi="黑体" w:eastAsia="黑体" w:cs="黑体"/>
                <w:kern w:val="0"/>
                <w:sz w:val="18"/>
                <w:szCs w:val="18"/>
                <w:highlight w:val="none"/>
              </w:rPr>
              <w:t>评分标准</w:t>
            </w:r>
          </w:p>
        </w:tc>
        <w:tc>
          <w:tcPr>
            <w:tcW w:w="138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18"/>
                <w:szCs w:val="18"/>
                <w:highlight w:val="none"/>
              </w:rPr>
            </w:pPr>
            <w:r>
              <w:rPr>
                <w:rFonts w:hint="eastAsia" w:ascii="黑体" w:hAnsi="黑体" w:eastAsia="黑体" w:cs="黑体"/>
                <w:kern w:val="0"/>
                <w:sz w:val="18"/>
                <w:szCs w:val="18"/>
                <w:highlight w:val="none"/>
              </w:rPr>
              <w:t>分值</w:t>
            </w:r>
          </w:p>
        </w:tc>
      </w:tr>
      <w:tr>
        <w:tblPrEx>
          <w:tblCellMar>
            <w:top w:w="0" w:type="dxa"/>
            <w:left w:w="108" w:type="dxa"/>
            <w:bottom w:w="0" w:type="dxa"/>
            <w:right w:w="108" w:type="dxa"/>
          </w:tblCellMar>
        </w:tblPrEx>
        <w:trPr>
          <w:trHeight w:val="592" w:hRule="atLeast"/>
        </w:trPr>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hAnsi="宋体" w:eastAsia="宋体" w:cs="宋体"/>
                <w:szCs w:val="21"/>
                <w:highlight w:val="none"/>
              </w:rPr>
            </w:pPr>
            <w:r>
              <w:rPr>
                <w:rFonts w:hint="eastAsia" w:ascii="宋体" w:hAnsi="宋体" w:eastAsia="宋体" w:cs="宋体"/>
                <w:szCs w:val="21"/>
                <w:highlight w:val="none"/>
              </w:rPr>
              <w:t>价格部分（</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p>
        </w:tc>
        <w:tc>
          <w:tcPr>
            <w:tcW w:w="1344" w:type="dxa"/>
            <w:tcBorders>
              <w:top w:val="single" w:color="auto" w:sz="4" w:space="0"/>
              <w:left w:val="nil"/>
              <w:bottom w:val="nil"/>
              <w:right w:val="single" w:color="auto" w:sz="4" w:space="0"/>
            </w:tcBorders>
            <w:vAlign w:val="center"/>
          </w:tcPr>
          <w:p>
            <w:pPr>
              <w:widowControl/>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价格</w:t>
            </w:r>
          </w:p>
          <w:p>
            <w:pPr>
              <w:widowControl/>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10分</w:t>
            </w:r>
            <w:r>
              <w:rPr>
                <w:rFonts w:hint="eastAsia" w:ascii="宋体" w:hAnsi="宋体" w:eastAsia="宋体" w:cs="宋体"/>
                <w:szCs w:val="21"/>
                <w:highlight w:val="none"/>
                <w:lang w:eastAsia="zh-CN"/>
              </w:rPr>
              <w:t>）</w:t>
            </w:r>
          </w:p>
        </w:tc>
        <w:tc>
          <w:tcPr>
            <w:tcW w:w="4798" w:type="dxa"/>
            <w:tcBorders>
              <w:top w:val="single" w:color="auto" w:sz="4" w:space="0"/>
              <w:left w:val="nil"/>
              <w:bottom w:val="nil"/>
              <w:right w:val="single" w:color="auto" w:sz="4" w:space="0"/>
            </w:tcBorders>
            <w:vAlign w:val="center"/>
          </w:tcPr>
          <w:p>
            <w:pPr>
              <w:widowControl/>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报价得分=（评审基准价/报价）×价格权值10</w:t>
            </w:r>
          </w:p>
          <w:p>
            <w:pPr>
              <w:widowControl/>
              <w:spacing w:line="300" w:lineRule="exact"/>
              <w:rPr>
                <w:rFonts w:hint="eastAsia" w:ascii="宋体" w:hAnsi="宋体" w:eastAsia="宋体" w:cs="宋体"/>
                <w:szCs w:val="21"/>
                <w:highlight w:val="none"/>
              </w:rPr>
            </w:pPr>
            <w:r>
              <w:rPr>
                <w:rFonts w:hint="eastAsia" w:ascii="宋体" w:hAnsi="宋体" w:eastAsia="宋体" w:cs="宋体"/>
                <w:szCs w:val="21"/>
                <w:highlight w:val="none"/>
              </w:rPr>
              <w:t>注：实质性响应遴选文件要求且价格最低的报价为评审基准价。</w:t>
            </w:r>
          </w:p>
        </w:tc>
        <w:tc>
          <w:tcPr>
            <w:tcW w:w="138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p>
        </w:tc>
      </w:tr>
      <w:tr>
        <w:tblPrEx>
          <w:tblCellMar>
            <w:top w:w="0" w:type="dxa"/>
            <w:left w:w="108" w:type="dxa"/>
            <w:bottom w:w="0" w:type="dxa"/>
            <w:right w:w="108" w:type="dxa"/>
          </w:tblCellMar>
        </w:tblPrEx>
        <w:trPr>
          <w:trHeight w:val="675" w:hRule="atLeast"/>
        </w:trPr>
        <w:tc>
          <w:tcPr>
            <w:tcW w:w="1003" w:type="dxa"/>
            <w:vMerge w:val="restart"/>
            <w:tcBorders>
              <w:top w:val="nil"/>
              <w:left w:val="single" w:color="auto" w:sz="4" w:space="0"/>
              <w:bottom w:val="single" w:color="auto" w:sz="4" w:space="0"/>
              <w:right w:val="nil"/>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商务部分（30分）</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供应商基本情况</w:t>
            </w:r>
          </w:p>
          <w:p>
            <w:pPr>
              <w:widowControl/>
              <w:spacing w:line="300" w:lineRule="exact"/>
              <w:jc w:val="center"/>
              <w:rPr>
                <w:rFonts w:ascii="仿宋" w:hAnsi="仿宋" w:eastAsia="仿宋" w:cs="宋体"/>
                <w:kern w:val="0"/>
                <w:sz w:val="18"/>
                <w:szCs w:val="18"/>
                <w:highlight w:val="none"/>
              </w:rPr>
            </w:pPr>
            <w:r>
              <w:rPr>
                <w:rFonts w:hint="eastAsia" w:ascii="宋体" w:hAnsi="宋体" w:cs="宋体"/>
                <w:szCs w:val="21"/>
                <w:highlight w:val="none"/>
              </w:rPr>
              <w:t>（5分）</w:t>
            </w:r>
          </w:p>
        </w:tc>
        <w:tc>
          <w:tcPr>
            <w:tcW w:w="4798" w:type="dxa"/>
            <w:tcBorders>
              <w:top w:val="single" w:color="auto" w:sz="4" w:space="0"/>
              <w:left w:val="nil"/>
              <w:bottom w:val="single" w:color="auto" w:sz="4" w:space="0"/>
              <w:right w:val="single" w:color="auto" w:sz="4" w:space="0"/>
            </w:tcBorders>
            <w:vAlign w:val="center"/>
          </w:tcPr>
          <w:p>
            <w:pPr>
              <w:widowControl/>
              <w:spacing w:line="300" w:lineRule="exact"/>
              <w:rPr>
                <w:rFonts w:ascii="仿宋" w:hAnsi="仿宋" w:eastAsia="仿宋" w:cs="宋体"/>
                <w:kern w:val="0"/>
                <w:sz w:val="18"/>
                <w:szCs w:val="18"/>
                <w:highlight w:val="none"/>
              </w:rPr>
            </w:pPr>
            <w:r>
              <w:rPr>
                <w:rFonts w:hint="eastAsia" w:ascii="宋体" w:hAnsi="宋体" w:cs="宋体"/>
                <w:szCs w:val="21"/>
                <w:highlight w:val="none"/>
              </w:rPr>
              <w:t>综合考虑供应商技术状况、履约能力等(包括机构业务范围、行业等级评定、既往业务经验与本项目的匹配程度等)。（横向比较，最优得5分、一般得4分、较差得0分）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5</w:t>
            </w:r>
          </w:p>
        </w:tc>
      </w:tr>
      <w:tr>
        <w:tblPrEx>
          <w:tblCellMar>
            <w:top w:w="0" w:type="dxa"/>
            <w:left w:w="108" w:type="dxa"/>
            <w:bottom w:w="0" w:type="dxa"/>
            <w:right w:w="108" w:type="dxa"/>
          </w:tblCellMar>
        </w:tblPrEx>
        <w:trPr>
          <w:trHeight w:val="52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szCs w:val="21"/>
                <w:highlight w:val="none"/>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供应商的业绩</w:t>
            </w:r>
          </w:p>
          <w:p>
            <w:pPr>
              <w:widowControl/>
              <w:spacing w:line="300" w:lineRule="exact"/>
              <w:jc w:val="center"/>
              <w:rPr>
                <w:rFonts w:ascii="仿宋" w:hAnsi="仿宋" w:eastAsia="仿宋" w:cs="宋体"/>
                <w:kern w:val="0"/>
                <w:sz w:val="18"/>
                <w:szCs w:val="18"/>
                <w:highlight w:val="none"/>
              </w:rPr>
            </w:pPr>
            <w:r>
              <w:rPr>
                <w:rFonts w:hint="eastAsia" w:ascii="宋体" w:hAnsi="宋体" w:cs="宋体"/>
                <w:szCs w:val="21"/>
                <w:highlight w:val="none"/>
              </w:rPr>
              <w:t>（15分）</w:t>
            </w:r>
          </w:p>
        </w:tc>
        <w:tc>
          <w:tcPr>
            <w:tcW w:w="4798" w:type="dxa"/>
            <w:tcBorders>
              <w:top w:val="nil"/>
              <w:left w:val="nil"/>
              <w:bottom w:val="single" w:color="auto" w:sz="4" w:space="0"/>
              <w:right w:val="single" w:color="auto" w:sz="4" w:space="0"/>
            </w:tcBorders>
            <w:vAlign w:val="center"/>
          </w:tcPr>
          <w:p>
            <w:pPr>
              <w:widowControl/>
              <w:spacing w:line="300" w:lineRule="exact"/>
              <w:rPr>
                <w:rFonts w:ascii="仿宋" w:hAnsi="仿宋" w:eastAsia="仿宋" w:cs="宋体"/>
                <w:kern w:val="0"/>
                <w:sz w:val="18"/>
                <w:szCs w:val="18"/>
                <w:highlight w:val="none"/>
              </w:rPr>
            </w:pPr>
            <w:r>
              <w:rPr>
                <w:rFonts w:hint="eastAsia" w:ascii="宋体" w:hAnsi="宋体"/>
                <w:szCs w:val="21"/>
                <w:highlight w:val="none"/>
              </w:rPr>
              <w:t>综合考虑供应商 202</w:t>
            </w:r>
            <w:r>
              <w:rPr>
                <w:rFonts w:hint="eastAsia" w:ascii="宋体" w:hAnsi="宋体"/>
                <w:szCs w:val="21"/>
                <w:highlight w:val="none"/>
                <w:lang w:val="en-US" w:eastAsia="zh-CN"/>
              </w:rPr>
              <w:t>1</w:t>
            </w:r>
            <w:r>
              <w:rPr>
                <w:rFonts w:hint="eastAsia" w:ascii="宋体" w:hAnsi="宋体"/>
                <w:szCs w:val="21"/>
                <w:highlight w:val="none"/>
              </w:rPr>
              <w:t>年1月起至今，承担过同类项目业绩，每提供1个业绩得3分，本项最高得15分。（须提供合同首页、标的页、盖章页复印件盖公章或中标通知书）。未按要求提供完整资料的不得分。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15</w:t>
            </w:r>
          </w:p>
        </w:tc>
      </w:tr>
      <w:tr>
        <w:tblPrEx>
          <w:tblCellMar>
            <w:top w:w="0" w:type="dxa"/>
            <w:left w:w="108" w:type="dxa"/>
            <w:bottom w:w="0" w:type="dxa"/>
            <w:right w:w="108" w:type="dxa"/>
          </w:tblCellMar>
        </w:tblPrEx>
        <w:trPr>
          <w:trHeight w:val="103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szCs w:val="21"/>
                <w:highlight w:val="none"/>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项目人员配备</w:t>
            </w:r>
          </w:p>
          <w:p>
            <w:pPr>
              <w:widowControl/>
              <w:spacing w:line="300" w:lineRule="exact"/>
              <w:jc w:val="center"/>
              <w:rPr>
                <w:rFonts w:ascii="仿宋" w:hAnsi="仿宋" w:eastAsia="仿宋" w:cs="宋体"/>
                <w:kern w:val="0"/>
                <w:sz w:val="18"/>
                <w:szCs w:val="18"/>
                <w:highlight w:val="none"/>
              </w:rPr>
            </w:pPr>
            <w:r>
              <w:rPr>
                <w:rFonts w:hint="eastAsia" w:ascii="宋体" w:hAnsi="宋体" w:cs="宋体"/>
                <w:szCs w:val="21"/>
                <w:highlight w:val="none"/>
              </w:rPr>
              <w:t>（10分）</w:t>
            </w:r>
          </w:p>
        </w:tc>
        <w:tc>
          <w:tcPr>
            <w:tcW w:w="4798" w:type="dxa"/>
            <w:tcBorders>
              <w:top w:val="nil"/>
              <w:left w:val="nil"/>
              <w:bottom w:val="single" w:color="auto" w:sz="4" w:space="0"/>
              <w:right w:val="single" w:color="auto" w:sz="4" w:space="0"/>
            </w:tcBorders>
            <w:vAlign w:val="center"/>
          </w:tcPr>
          <w:p>
            <w:pPr>
              <w:pStyle w:val="21"/>
              <w:jc w:val="both"/>
              <w:rPr>
                <w:color w:val="auto"/>
                <w:kern w:val="2"/>
                <w:sz w:val="21"/>
                <w:szCs w:val="21"/>
                <w:highlight w:val="none"/>
              </w:rPr>
            </w:pPr>
            <w:r>
              <w:rPr>
                <w:rFonts w:hint="eastAsia"/>
                <w:color w:val="auto"/>
                <w:kern w:val="2"/>
                <w:sz w:val="21"/>
                <w:szCs w:val="21"/>
                <w:highlight w:val="none"/>
              </w:rPr>
              <w:t>投入本项目人员配置的合理性（专业匹配、岗位设置、稳定性等）0-10分</w:t>
            </w:r>
          </w:p>
          <w:p>
            <w:pPr>
              <w:pStyle w:val="22"/>
              <w:ind w:left="106" w:right="96"/>
              <w:rPr>
                <w:sz w:val="21"/>
                <w:szCs w:val="21"/>
                <w:highlight w:val="none"/>
                <w:lang w:eastAsia="zh-CN"/>
              </w:rPr>
            </w:pPr>
            <w:r>
              <w:rPr>
                <w:rFonts w:hint="eastAsia"/>
                <w:sz w:val="21"/>
                <w:szCs w:val="21"/>
                <w:highlight w:val="none"/>
                <w:lang w:eastAsia="zh-CN"/>
              </w:rPr>
              <w:t>拟派本项目的人员的专业匹配及人员岗位配备完善、合理，经验丰富，针对性强，得10分；</w:t>
            </w:r>
          </w:p>
          <w:p>
            <w:pPr>
              <w:pStyle w:val="22"/>
              <w:ind w:left="106" w:right="96"/>
              <w:rPr>
                <w:sz w:val="21"/>
                <w:szCs w:val="21"/>
                <w:highlight w:val="none"/>
                <w:lang w:eastAsia="zh-CN"/>
              </w:rPr>
            </w:pPr>
            <w:r>
              <w:rPr>
                <w:rFonts w:hint="eastAsia"/>
                <w:sz w:val="21"/>
                <w:szCs w:val="21"/>
                <w:highlight w:val="none"/>
                <w:lang w:eastAsia="zh-CN"/>
              </w:rPr>
              <w:t>拟派本项目的人员的专业匹配及人员岗位配备较完善、较合理，经验较为丰富，有一定得针对性，得8分；</w:t>
            </w:r>
          </w:p>
          <w:p>
            <w:pPr>
              <w:pStyle w:val="22"/>
              <w:ind w:left="106" w:right="96"/>
              <w:rPr>
                <w:sz w:val="21"/>
                <w:szCs w:val="21"/>
                <w:highlight w:val="none"/>
                <w:lang w:eastAsia="zh-CN"/>
              </w:rPr>
            </w:pPr>
            <w:r>
              <w:rPr>
                <w:rFonts w:hint="eastAsia"/>
                <w:sz w:val="21"/>
                <w:szCs w:val="21"/>
                <w:highlight w:val="none"/>
                <w:lang w:eastAsia="zh-CN"/>
              </w:rPr>
              <w:t>拟派本项目的人员的专业匹配及人员岗位配备基</w:t>
            </w:r>
            <w:r>
              <w:rPr>
                <w:rFonts w:hint="eastAsia"/>
                <w:spacing w:val="-8"/>
                <w:sz w:val="21"/>
                <w:szCs w:val="21"/>
                <w:highlight w:val="none"/>
                <w:lang w:eastAsia="zh-CN"/>
              </w:rPr>
              <w:t>本完善、基本合理，经验一般，针对性不强，得</w:t>
            </w:r>
            <w:r>
              <w:rPr>
                <w:rFonts w:hint="eastAsia"/>
                <w:sz w:val="21"/>
                <w:szCs w:val="21"/>
                <w:highlight w:val="none"/>
                <w:lang w:eastAsia="zh-CN"/>
              </w:rPr>
              <w:t>6</w:t>
            </w:r>
            <w:r>
              <w:rPr>
                <w:rFonts w:hint="eastAsia"/>
                <w:spacing w:val="-19"/>
                <w:sz w:val="21"/>
                <w:szCs w:val="21"/>
                <w:highlight w:val="none"/>
                <w:lang w:eastAsia="zh-CN"/>
              </w:rPr>
              <w:t>分；</w:t>
            </w:r>
          </w:p>
          <w:p>
            <w:pPr>
              <w:pStyle w:val="22"/>
              <w:spacing w:before="4"/>
              <w:ind w:left="106" w:right="96"/>
              <w:rPr>
                <w:sz w:val="21"/>
                <w:szCs w:val="21"/>
                <w:highlight w:val="none"/>
                <w:lang w:eastAsia="zh-CN"/>
              </w:rPr>
            </w:pPr>
            <w:r>
              <w:rPr>
                <w:rFonts w:hint="eastAsia"/>
                <w:sz w:val="21"/>
                <w:szCs w:val="21"/>
                <w:highlight w:val="none"/>
                <w:lang w:eastAsia="zh-CN"/>
              </w:rPr>
              <w:t>拟派本项目的人员的专业匹配及人员岗位配备不</w:t>
            </w:r>
            <w:r>
              <w:rPr>
                <w:rFonts w:hint="eastAsia"/>
                <w:spacing w:val="-8"/>
                <w:sz w:val="21"/>
                <w:szCs w:val="21"/>
                <w:highlight w:val="none"/>
                <w:lang w:eastAsia="zh-CN"/>
              </w:rPr>
              <w:t>够完善、不够合理，不太具有针对性，得1</w:t>
            </w:r>
            <w:r>
              <w:rPr>
                <w:rFonts w:hint="eastAsia"/>
                <w:spacing w:val="-19"/>
                <w:sz w:val="21"/>
                <w:szCs w:val="21"/>
                <w:highlight w:val="none"/>
                <w:lang w:eastAsia="zh-CN"/>
              </w:rPr>
              <w:t>分；</w:t>
            </w:r>
          </w:p>
          <w:p>
            <w:pPr>
              <w:pStyle w:val="21"/>
              <w:ind w:firstLine="210" w:firstLineChars="100"/>
              <w:jc w:val="both"/>
              <w:rPr>
                <w:rFonts w:ascii="仿宋" w:hAnsi="仿宋" w:eastAsia="仿宋"/>
                <w:sz w:val="18"/>
                <w:szCs w:val="18"/>
                <w:highlight w:val="none"/>
              </w:rPr>
            </w:pPr>
            <w:r>
              <w:rPr>
                <w:rFonts w:hint="eastAsia"/>
                <w:color w:val="auto"/>
                <w:sz w:val="21"/>
                <w:szCs w:val="21"/>
                <w:highlight w:val="none"/>
              </w:rPr>
              <w:t>不提供不得分。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10</w:t>
            </w:r>
          </w:p>
        </w:tc>
      </w:tr>
      <w:tr>
        <w:tblPrEx>
          <w:tblCellMar>
            <w:top w:w="0" w:type="dxa"/>
            <w:left w:w="108" w:type="dxa"/>
            <w:bottom w:w="0" w:type="dxa"/>
            <w:right w:w="108" w:type="dxa"/>
          </w:tblCellMar>
        </w:tblPrEx>
        <w:trPr>
          <w:trHeight w:val="810" w:hRule="atLeast"/>
        </w:trPr>
        <w:tc>
          <w:tcPr>
            <w:tcW w:w="1003" w:type="dxa"/>
            <w:vMerge w:val="restart"/>
            <w:tcBorders>
              <w:top w:val="nil"/>
              <w:left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lang w:val="en-US" w:eastAsia="zh-CN"/>
              </w:rPr>
              <w:t>6</w:t>
            </w:r>
            <w:bookmarkStart w:id="0" w:name="_GoBack"/>
            <w:bookmarkEnd w:id="0"/>
            <w:r>
              <w:rPr>
                <w:rFonts w:hint="eastAsia" w:ascii="宋体" w:hAnsi="宋体" w:cs="宋体"/>
                <w:szCs w:val="21"/>
                <w:highlight w:val="none"/>
              </w:rPr>
              <w:t>0分）</w:t>
            </w: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18"/>
                <w:szCs w:val="18"/>
                <w:highlight w:val="none"/>
              </w:rPr>
            </w:pPr>
            <w:r>
              <w:rPr>
                <w:rFonts w:hint="eastAsia" w:ascii="宋体" w:hAnsi="宋体" w:cs="宋体"/>
                <w:szCs w:val="21"/>
                <w:highlight w:val="none"/>
              </w:rPr>
              <w:t>实施方案内容与工作方法（</w:t>
            </w:r>
            <w:r>
              <w:rPr>
                <w:rFonts w:hint="eastAsia" w:ascii="宋体" w:hAnsi="宋体" w:cs="宋体"/>
                <w:szCs w:val="21"/>
                <w:highlight w:val="none"/>
                <w:lang w:val="en-US" w:eastAsia="zh-CN"/>
              </w:rPr>
              <w:t>4</w:t>
            </w:r>
            <w:r>
              <w:rPr>
                <w:rFonts w:hint="eastAsia" w:ascii="宋体" w:hAnsi="宋体" w:cs="宋体"/>
                <w:szCs w:val="21"/>
                <w:highlight w:val="none"/>
              </w:rPr>
              <w:t>0分）</w:t>
            </w:r>
          </w:p>
        </w:tc>
        <w:tc>
          <w:tcPr>
            <w:tcW w:w="4798" w:type="dxa"/>
            <w:tcBorders>
              <w:top w:val="nil"/>
              <w:left w:val="nil"/>
              <w:bottom w:val="single" w:color="auto" w:sz="4" w:space="0"/>
              <w:right w:val="single" w:color="auto" w:sz="4" w:space="0"/>
            </w:tcBorders>
            <w:vAlign w:val="center"/>
          </w:tcPr>
          <w:p>
            <w:pPr>
              <w:widowControl/>
              <w:spacing w:line="300" w:lineRule="exact"/>
              <w:rPr>
                <w:rFonts w:ascii="仿宋" w:hAnsi="仿宋" w:eastAsia="仿宋" w:cs="宋体"/>
                <w:color w:val="000000"/>
                <w:kern w:val="0"/>
                <w:sz w:val="18"/>
                <w:szCs w:val="18"/>
                <w:highlight w:val="none"/>
              </w:rPr>
            </w:pPr>
            <w:r>
              <w:rPr>
                <w:rFonts w:hint="eastAsia" w:ascii="宋体" w:hAnsi="宋体" w:cs="宋体"/>
                <w:szCs w:val="21"/>
                <w:highlight w:val="none"/>
              </w:rPr>
              <w:t>项目实施方案编制思路清晰、目标明确、条理严谨，实施方案对项目结果的最终实现具有良好的支撑性，符合遴选工作任务要求，预期成果及技术路线完备。优秀的，得</w:t>
            </w:r>
            <w:r>
              <w:rPr>
                <w:rFonts w:hint="eastAsia" w:ascii="宋体" w:hAnsi="宋体" w:cs="宋体"/>
                <w:szCs w:val="21"/>
                <w:highlight w:val="none"/>
                <w:lang w:val="en-US" w:eastAsia="zh-CN"/>
              </w:rPr>
              <w:t>4</w:t>
            </w:r>
            <w:r>
              <w:rPr>
                <w:rFonts w:hint="eastAsia" w:ascii="宋体" w:hAnsi="宋体" w:cs="宋体"/>
                <w:szCs w:val="21"/>
                <w:highlight w:val="none"/>
              </w:rPr>
              <w:t>0分；良好的，得</w:t>
            </w:r>
            <w:r>
              <w:rPr>
                <w:rFonts w:hint="eastAsia" w:ascii="宋体" w:hAnsi="宋体" w:cs="宋体"/>
                <w:szCs w:val="21"/>
                <w:highlight w:val="none"/>
                <w:lang w:val="en-US" w:eastAsia="zh-CN"/>
              </w:rPr>
              <w:t>3</w:t>
            </w:r>
            <w:r>
              <w:rPr>
                <w:rFonts w:hint="eastAsia" w:ascii="宋体" w:hAnsi="宋体" w:cs="宋体"/>
                <w:szCs w:val="21"/>
                <w:highlight w:val="none"/>
              </w:rPr>
              <w:t>0分；一般的，得</w:t>
            </w:r>
            <w:r>
              <w:rPr>
                <w:rFonts w:hint="eastAsia" w:ascii="宋体" w:hAnsi="宋体" w:cs="宋体"/>
                <w:szCs w:val="21"/>
                <w:highlight w:val="none"/>
                <w:lang w:val="en-US" w:eastAsia="zh-CN"/>
              </w:rPr>
              <w:t>2</w:t>
            </w:r>
            <w:r>
              <w:rPr>
                <w:rFonts w:hint="eastAsia" w:ascii="宋体" w:hAnsi="宋体" w:cs="宋体"/>
                <w:szCs w:val="21"/>
                <w:highlight w:val="none"/>
              </w:rPr>
              <w:t>0分；较差的，得</w:t>
            </w:r>
            <w:r>
              <w:rPr>
                <w:rFonts w:hint="eastAsia" w:ascii="宋体" w:hAnsi="宋体" w:cs="宋体"/>
                <w:szCs w:val="21"/>
                <w:highlight w:val="none"/>
                <w:lang w:val="en-US" w:eastAsia="zh-CN"/>
              </w:rPr>
              <w:t>1</w:t>
            </w:r>
            <w:r>
              <w:rPr>
                <w:rFonts w:hint="eastAsia" w:ascii="宋体" w:hAnsi="宋体" w:cs="宋体"/>
                <w:szCs w:val="21"/>
                <w:highlight w:val="none"/>
              </w:rPr>
              <w:t>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50</w:t>
            </w:r>
          </w:p>
        </w:tc>
      </w:tr>
      <w:tr>
        <w:tblPrEx>
          <w:tblCellMar>
            <w:top w:w="0" w:type="dxa"/>
            <w:left w:w="108" w:type="dxa"/>
            <w:bottom w:w="0" w:type="dxa"/>
            <w:right w:w="108" w:type="dxa"/>
          </w:tblCellMar>
        </w:tblPrEx>
        <w:trPr>
          <w:trHeight w:val="810" w:hRule="atLeast"/>
        </w:trPr>
        <w:tc>
          <w:tcPr>
            <w:tcW w:w="1003"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kern w:val="0"/>
                <w:sz w:val="18"/>
                <w:szCs w:val="18"/>
                <w:highlight w:val="none"/>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进度保障措施</w:t>
            </w:r>
          </w:p>
          <w:p>
            <w:pPr>
              <w:widowControl/>
              <w:spacing w:line="300" w:lineRule="exact"/>
              <w:jc w:val="center"/>
              <w:rPr>
                <w:rFonts w:ascii="仿宋" w:hAnsi="仿宋" w:eastAsia="仿宋" w:cs="宋体"/>
                <w:kern w:val="0"/>
                <w:sz w:val="18"/>
                <w:szCs w:val="18"/>
                <w:highlight w:val="none"/>
              </w:rPr>
            </w:pPr>
            <w:r>
              <w:rPr>
                <w:rFonts w:hint="eastAsia" w:ascii="宋体" w:hAnsi="宋体" w:cs="宋体"/>
                <w:szCs w:val="21"/>
                <w:highlight w:val="none"/>
              </w:rPr>
              <w:t>（10分）</w:t>
            </w:r>
          </w:p>
        </w:tc>
        <w:tc>
          <w:tcPr>
            <w:tcW w:w="4798" w:type="dxa"/>
            <w:tcBorders>
              <w:top w:val="nil"/>
              <w:left w:val="nil"/>
              <w:bottom w:val="single" w:color="auto" w:sz="4" w:space="0"/>
              <w:right w:val="single" w:color="auto" w:sz="4" w:space="0"/>
            </w:tcBorders>
            <w:vAlign w:val="center"/>
          </w:tcPr>
          <w:p>
            <w:pPr>
              <w:widowControl/>
              <w:spacing w:line="300" w:lineRule="exact"/>
              <w:rPr>
                <w:rFonts w:ascii="仿宋" w:hAnsi="仿宋" w:eastAsia="仿宋" w:cs="宋体"/>
                <w:color w:val="000000"/>
                <w:kern w:val="0"/>
                <w:sz w:val="18"/>
                <w:szCs w:val="18"/>
                <w:highlight w:val="none"/>
              </w:rPr>
            </w:pPr>
            <w:r>
              <w:rPr>
                <w:rFonts w:hint="eastAsia" w:ascii="宋体" w:hAnsi="宋体" w:cs="宋体"/>
                <w:szCs w:val="21"/>
                <w:highlight w:val="none"/>
              </w:rPr>
              <w:t>服务进度保障方案（包含进度计划和进度保障措施），保证服务按时完成。详细阐述且满足采购实际需求得10分；虽阐述但未贴合实际情况得5分；阐述不清或者不贴合本项目采购需求得0分。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10</w:t>
            </w:r>
          </w:p>
        </w:tc>
      </w:tr>
      <w:tr>
        <w:tblPrEx>
          <w:tblCellMar>
            <w:top w:w="0" w:type="dxa"/>
            <w:left w:w="108" w:type="dxa"/>
            <w:bottom w:w="0" w:type="dxa"/>
            <w:right w:w="108" w:type="dxa"/>
          </w:tblCellMar>
        </w:tblPrEx>
        <w:trPr>
          <w:trHeight w:val="810" w:hRule="atLeast"/>
        </w:trPr>
        <w:tc>
          <w:tcPr>
            <w:tcW w:w="1003"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kern w:val="0"/>
                <w:sz w:val="18"/>
                <w:szCs w:val="18"/>
                <w:highlight w:val="none"/>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服务承诺（10分）</w:t>
            </w:r>
          </w:p>
        </w:tc>
        <w:tc>
          <w:tcPr>
            <w:tcW w:w="4798" w:type="dxa"/>
            <w:tcBorders>
              <w:top w:val="nil"/>
              <w:left w:val="nil"/>
              <w:bottom w:val="single" w:color="auto" w:sz="4" w:space="0"/>
              <w:right w:val="single" w:color="auto" w:sz="4" w:space="0"/>
            </w:tcBorders>
            <w:vAlign w:val="center"/>
          </w:tcPr>
          <w:p>
            <w:pPr>
              <w:widowControl/>
              <w:spacing w:line="300" w:lineRule="exact"/>
              <w:rPr>
                <w:rFonts w:ascii="宋体" w:hAnsi="宋体" w:cs="宋体"/>
                <w:szCs w:val="21"/>
                <w:highlight w:val="none"/>
              </w:rPr>
            </w:pPr>
            <w:r>
              <w:rPr>
                <w:rFonts w:hint="eastAsia" w:ascii="宋体" w:hAnsi="宋体" w:cs="宋体"/>
                <w:szCs w:val="21"/>
                <w:highlight w:val="none"/>
              </w:rPr>
              <w:t>供应商须提供沟通机制，内容包括①服务人员安排②沟通方案，要求有专人定期沟通，配合。优秀的，得10分；良好的，得7分；一般的，得4分；较差的，得0分。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10</w:t>
            </w:r>
          </w:p>
        </w:tc>
      </w:tr>
      <w:tr>
        <w:tblPrEx>
          <w:tblCellMar>
            <w:top w:w="0" w:type="dxa"/>
            <w:left w:w="108" w:type="dxa"/>
            <w:bottom w:w="0" w:type="dxa"/>
            <w:right w:w="108" w:type="dxa"/>
          </w:tblCellMar>
        </w:tblPrEx>
        <w:trPr>
          <w:trHeight w:val="510" w:hRule="atLeast"/>
        </w:trPr>
        <w:tc>
          <w:tcPr>
            <w:tcW w:w="7145"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总分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szCs w:val="21"/>
                <w:highlight w:val="none"/>
              </w:rPr>
            </w:pPr>
            <w:r>
              <w:rPr>
                <w:rFonts w:hint="eastAsia" w:ascii="宋体" w:hAnsi="宋体" w:cs="宋体"/>
                <w:szCs w:val="21"/>
                <w:highlight w:val="none"/>
              </w:rPr>
              <w:t>100</w:t>
            </w:r>
          </w:p>
        </w:tc>
      </w:tr>
    </w:tbl>
    <w:p>
      <w:pPr>
        <w:spacing w:line="360" w:lineRule="auto"/>
        <w:rPr>
          <w:rFonts w:ascii="仿宋" w:hAnsi="仿宋" w:eastAsia="仿宋" w:cs="宋体"/>
          <w:bCs/>
          <w:sz w:val="28"/>
          <w:szCs w:val="28"/>
        </w:rPr>
      </w:pPr>
    </w:p>
    <w:p>
      <w:pPr>
        <w:spacing w:line="360" w:lineRule="auto"/>
        <w:jc w:val="center"/>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RmNjFmYzEzYzhmMWVhMmIwZmM1OWViN2MwODc5MDAifQ=="/>
  </w:docVars>
  <w:rsids>
    <w:rsidRoot w:val="0099485C"/>
    <w:rsid w:val="000A22BF"/>
    <w:rsid w:val="000D23C9"/>
    <w:rsid w:val="00193EAA"/>
    <w:rsid w:val="002813AC"/>
    <w:rsid w:val="00296944"/>
    <w:rsid w:val="002D2684"/>
    <w:rsid w:val="003B2C36"/>
    <w:rsid w:val="003D1C53"/>
    <w:rsid w:val="003E70D5"/>
    <w:rsid w:val="004326F7"/>
    <w:rsid w:val="00435977"/>
    <w:rsid w:val="004B1B62"/>
    <w:rsid w:val="004D73E0"/>
    <w:rsid w:val="004F644E"/>
    <w:rsid w:val="00504DC9"/>
    <w:rsid w:val="00515BAC"/>
    <w:rsid w:val="006337E9"/>
    <w:rsid w:val="006F7B9A"/>
    <w:rsid w:val="0072607C"/>
    <w:rsid w:val="007A7660"/>
    <w:rsid w:val="007C29EA"/>
    <w:rsid w:val="008A2C42"/>
    <w:rsid w:val="0099485C"/>
    <w:rsid w:val="00B33D64"/>
    <w:rsid w:val="00B927D3"/>
    <w:rsid w:val="00BA4C9E"/>
    <w:rsid w:val="00CA49E3"/>
    <w:rsid w:val="00D3571B"/>
    <w:rsid w:val="00D875C2"/>
    <w:rsid w:val="00DB1122"/>
    <w:rsid w:val="00FF1677"/>
    <w:rsid w:val="0185358B"/>
    <w:rsid w:val="0F3E1A51"/>
    <w:rsid w:val="28BA4A28"/>
    <w:rsid w:val="2A021EEC"/>
    <w:rsid w:val="473506D4"/>
    <w:rsid w:val="68A51AEC"/>
    <w:rsid w:val="703F07DD"/>
    <w:rsid w:val="72BFBB83"/>
    <w:rsid w:val="7834054B"/>
    <w:rsid w:val="DFBA1A89"/>
    <w:rsid w:val="EF7C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semiHidden/>
    <w:unhideWhenUsed/>
    <w:qFormat/>
    <w:uiPriority w:val="99"/>
    <w:pPr>
      <w:spacing w:after="120"/>
      <w:ind w:left="420" w:leftChars="200"/>
    </w:pPr>
  </w:style>
  <w:style w:type="paragraph" w:styleId="4">
    <w:name w:val="annotation text"/>
    <w:basedOn w:val="1"/>
    <w:link w:val="17"/>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envelope return"/>
    <w:basedOn w:val="1"/>
    <w:unhideWhenUsed/>
    <w:qFormat/>
    <w:uiPriority w:val="0"/>
    <w:pPr>
      <w:snapToGrid w:val="0"/>
    </w:pPr>
    <w:rPr>
      <w:rFonts w:ascii="Arial" w:hAnsi="Arial"/>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unhideWhenUsed/>
    <w:qFormat/>
    <w:uiPriority w:val="99"/>
    <w:rPr>
      <w:b/>
      <w:bCs/>
    </w:rPr>
  </w:style>
  <w:style w:type="character" w:styleId="12">
    <w:name w:val="annotation reference"/>
    <w:basedOn w:val="11"/>
    <w:unhideWhenUsed/>
    <w:qFormat/>
    <w:uiPriority w:val="99"/>
    <w:rPr>
      <w:sz w:val="21"/>
      <w:szCs w:val="21"/>
    </w:rPr>
  </w:style>
  <w:style w:type="paragraph" w:customStyle="1" w:styleId="13">
    <w:name w:val="列出段落1"/>
    <w:basedOn w:val="1"/>
    <w:link w:val="16"/>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Char"/>
    <w:basedOn w:val="11"/>
    <w:link w:val="4"/>
    <w:semiHidden/>
    <w:qFormat/>
    <w:uiPriority w:val="99"/>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5"/>
    <w:semiHidden/>
    <w:qFormat/>
    <w:uiPriority w:val="99"/>
    <w:rPr>
      <w:sz w:val="18"/>
      <w:szCs w:val="18"/>
    </w:rPr>
  </w:style>
  <w:style w:type="paragraph" w:customStyle="1" w:styleId="20">
    <w:name w:val="正文表格"/>
    <w:basedOn w:val="1"/>
    <w:qFormat/>
    <w:uiPriority w:val="0"/>
    <w:pPr>
      <w:adjustRightInd w:val="0"/>
      <w:snapToGrid w:val="0"/>
      <w:jc w:val="left"/>
    </w:pPr>
    <w:rPr>
      <w:rFonts w:ascii="宋体" w:hAnsi="宋体"/>
      <w:color w:val="000000"/>
      <w:szCs w:val="21"/>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Table Paragraph"/>
    <w:basedOn w:val="1"/>
    <w:qFormat/>
    <w:uiPriority w:val="1"/>
    <w:rPr>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263</Words>
  <Characters>1500</Characters>
  <Lines>12</Lines>
  <Paragraphs>3</Paragraphs>
  <TotalTime>1</TotalTime>
  <ScaleCrop>false</ScaleCrop>
  <LinksUpToDate>false</LinksUpToDate>
  <CharactersWithSpaces>1760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2022-04-19T12:00:00Z</dcterms:created>
  <dc:creator>强文晓</dc:creator>
  <cp:lastModifiedBy>admin</cp:lastModifiedBy>
  <dcterms:modified xsi:type="dcterms:W3CDTF">2024-09-23T16:15:07Z</dcterms:modified>
  <dc:title>申请人须知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E9DF036E6E8A4B939C7F8AAFD271A14B_12</vt:lpwstr>
  </property>
</Properties>
</file>