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spacing w:line="360" w:lineRule="auto"/>
        <w:jc w:val="center"/>
        <w:rPr>
          <w:rFonts w:hint="eastAsia" w:ascii="方正黑体_GBK" w:hAnsi="方正黑体_GBK" w:eastAsia="方正黑体_GBK" w:cs="方正黑体_GBK"/>
          <w:b/>
          <w:bCs/>
          <w:sz w:val="36"/>
          <w:szCs w:val="32"/>
        </w:rPr>
      </w:pPr>
      <w:r>
        <w:rPr>
          <w:rFonts w:hint="eastAsia" w:ascii="方正黑体_GBK" w:hAnsi="方正黑体_GBK" w:eastAsia="方正黑体_GBK" w:cs="方正黑体_GBK"/>
          <w:b/>
          <w:bCs/>
          <w:sz w:val="36"/>
          <w:szCs w:val="32"/>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7"/>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4</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rPr>
              <w:t>是否为独立法人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hint="eastAsia" w:ascii="仿宋" w:hAnsi="仿宋" w:eastAsia="仿宋" w:cs="宋体"/>
          <w:bCs/>
          <w:color w:val="000000" w:themeColor="text1"/>
          <w:sz w:val="28"/>
          <w:szCs w:val="28"/>
          <w14:textFill>
            <w14:solidFill>
              <w14:schemeClr w14:val="tx1"/>
            </w14:solidFill>
          </w14:textFill>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w:t>
      </w:r>
      <w:r>
        <w:rPr>
          <w:rFonts w:hint="eastAsia" w:ascii="仿宋" w:hAnsi="仿宋" w:eastAsia="仿宋" w:cs="宋体"/>
          <w:bCs/>
          <w:color w:val="000000" w:themeColor="text1"/>
          <w:sz w:val="28"/>
          <w:szCs w:val="28"/>
          <w14:textFill>
            <w14:solidFill>
              <w14:schemeClr w14:val="tx1"/>
            </w14:solidFill>
          </w14:textFill>
        </w:rPr>
        <w:t>排名第一的成交候选人。</w:t>
      </w:r>
      <w:r>
        <w:rPr>
          <w:rFonts w:hint="eastAsia" w:ascii="仿宋" w:hAnsi="仿宋" w:eastAsia="仿宋" w:cs="宋体"/>
          <w:b/>
          <w:bCs/>
          <w:sz w:val="28"/>
          <w:szCs w:val="28"/>
        </w:rPr>
        <w:t>由各业务处室最终决定成交</w:t>
      </w:r>
      <w:r>
        <w:rPr>
          <w:rFonts w:hint="eastAsia" w:ascii="仿宋" w:hAnsi="仿宋" w:eastAsia="仿宋" w:cs="宋体"/>
          <w:b/>
          <w:bCs/>
          <w:color w:val="000000" w:themeColor="text1"/>
          <w:sz w:val="28"/>
          <w:szCs w:val="28"/>
          <w14:textFill>
            <w14:solidFill>
              <w14:schemeClr w14:val="tx1"/>
            </w14:solidFill>
          </w14:textFill>
        </w:rPr>
        <w:t>申请人。</w:t>
      </w:r>
      <w:r>
        <w:rPr>
          <w:rFonts w:hint="eastAsia" w:ascii="仿宋" w:hAnsi="仿宋" w:eastAsia="仿宋" w:cs="宋体"/>
          <w:bCs/>
          <w:color w:val="000000" w:themeColor="text1"/>
          <w:sz w:val="28"/>
          <w:szCs w:val="28"/>
          <w14:textFill>
            <w14:solidFill>
              <w14:schemeClr w14:val="tx1"/>
            </w14:solidFill>
          </w14:textFill>
        </w:rPr>
        <w:t>评分分值计算保留小数点后两位，第三位四舍五入。</w:t>
      </w:r>
    </w:p>
    <w:p>
      <w:pPr>
        <w:spacing w:line="360" w:lineRule="auto"/>
        <w:jc w:val="left"/>
        <w:rPr>
          <w:rFonts w:hint="eastAsia" w:ascii="仿宋" w:hAnsi="仿宋" w:eastAsia="仿宋" w:cs="宋体"/>
          <w:bCs/>
          <w:color w:val="000000" w:themeColor="text1"/>
          <w:sz w:val="28"/>
          <w:szCs w:val="28"/>
          <w14:textFill>
            <w14:solidFill>
              <w14:schemeClr w14:val="tx1"/>
            </w14:solidFill>
          </w14:textFill>
        </w:rPr>
      </w:pPr>
      <w:bookmarkStart w:id="0" w:name="_GoBack"/>
      <w:r>
        <w:rPr>
          <w:rFonts w:hint="eastAsia" w:ascii="仿宋" w:hAnsi="仿宋" w:eastAsia="仿宋" w:cs="宋体"/>
          <w:b w:val="0"/>
          <w:bCs w:val="0"/>
          <w:color w:val="000000" w:themeColor="text1"/>
          <w:sz w:val="28"/>
          <w:szCs w:val="28"/>
          <w14:textFill>
            <w14:solidFill>
              <w14:schemeClr w14:val="tx1"/>
            </w14:solidFill>
          </w14:textFill>
        </w:rPr>
        <w:t>5、</w:t>
      </w:r>
      <w:bookmarkEnd w:id="0"/>
      <w:r>
        <w:rPr>
          <w:rFonts w:hint="eastAsia" w:ascii="仿宋" w:hAnsi="仿宋" w:eastAsia="仿宋" w:cs="宋体"/>
          <w:bCs/>
          <w:color w:val="000000" w:themeColor="text1"/>
          <w:sz w:val="28"/>
          <w:szCs w:val="28"/>
          <w:lang w:eastAsia="zh-CN"/>
          <w14:textFill>
            <w14:solidFill>
              <w14:schemeClr w14:val="tx1"/>
            </w14:solidFill>
          </w14:textFill>
        </w:rPr>
        <w:t>如对本项目进行实质性响应的供应商不足</w:t>
      </w:r>
      <w:r>
        <w:rPr>
          <w:rFonts w:hint="eastAsia" w:ascii="仿宋" w:hAnsi="仿宋" w:eastAsia="仿宋" w:cs="宋体"/>
          <w:bCs/>
          <w:color w:val="000000" w:themeColor="text1"/>
          <w:sz w:val="28"/>
          <w:szCs w:val="28"/>
          <w:lang w:val="en-US" w:eastAsia="zh-CN"/>
          <w14:textFill>
            <w14:solidFill>
              <w14:schemeClr w14:val="tx1"/>
            </w14:solidFill>
          </w14:textFill>
        </w:rPr>
        <w:t>2</w:t>
      </w:r>
      <w:r>
        <w:rPr>
          <w:rFonts w:hint="eastAsia" w:ascii="仿宋" w:hAnsi="仿宋" w:eastAsia="仿宋" w:cs="宋体"/>
          <w:bCs/>
          <w:color w:val="000000" w:themeColor="text1"/>
          <w:sz w:val="28"/>
          <w:szCs w:val="28"/>
          <w:lang w:eastAsia="zh-CN"/>
          <w14:textFill>
            <w14:solidFill>
              <w14:schemeClr w14:val="tx1"/>
            </w14:solidFill>
          </w14:textFill>
        </w:rPr>
        <w:t>家但大于等于</w:t>
      </w:r>
      <w:r>
        <w:rPr>
          <w:rFonts w:hint="eastAsia" w:ascii="仿宋" w:hAnsi="仿宋" w:eastAsia="仿宋" w:cs="宋体"/>
          <w:bCs/>
          <w:color w:val="000000" w:themeColor="text1"/>
          <w:sz w:val="28"/>
          <w:szCs w:val="28"/>
          <w:lang w:val="en-US" w:eastAsia="zh-CN"/>
          <w14:textFill>
            <w14:solidFill>
              <w14:schemeClr w14:val="tx1"/>
            </w14:solidFill>
          </w14:textFill>
        </w:rPr>
        <w:t>1</w:t>
      </w:r>
      <w:r>
        <w:rPr>
          <w:rFonts w:hint="eastAsia" w:ascii="仿宋" w:hAnsi="仿宋" w:eastAsia="仿宋" w:cs="宋体"/>
          <w:bCs/>
          <w:color w:val="000000" w:themeColor="text1"/>
          <w:sz w:val="28"/>
          <w:szCs w:val="28"/>
          <w:lang w:eastAsia="zh-CN"/>
          <w14:textFill>
            <w14:solidFill>
              <w14:schemeClr w14:val="tx1"/>
            </w14:solidFill>
          </w14:textFill>
        </w:rPr>
        <w:t>家时，项目主办处室决定是否继续进行采购活动或延期遴选文件获取时间及递交申请文件时间。如继续进行采购活动，如评审小组按照遴选文件对供应商的申请文件综合打分不足</w:t>
      </w:r>
      <w:r>
        <w:rPr>
          <w:rFonts w:hint="eastAsia" w:ascii="仿宋" w:hAnsi="仿宋" w:eastAsia="仿宋" w:cs="宋体"/>
          <w:bCs/>
          <w:color w:val="000000" w:themeColor="text1"/>
          <w:sz w:val="28"/>
          <w:szCs w:val="28"/>
          <w:lang w:val="en-US" w:eastAsia="zh-CN"/>
          <w14:textFill>
            <w14:solidFill>
              <w14:schemeClr w14:val="tx1"/>
            </w14:solidFill>
          </w14:textFill>
        </w:rPr>
        <w:t>60分时，</w:t>
      </w:r>
      <w:r>
        <w:rPr>
          <w:rFonts w:hint="eastAsia" w:ascii="仿宋" w:hAnsi="仿宋" w:eastAsia="仿宋" w:cs="宋体"/>
          <w:bCs/>
          <w:color w:val="000000" w:themeColor="text1"/>
          <w:sz w:val="28"/>
          <w:szCs w:val="28"/>
          <w:lang w:eastAsia="zh-CN"/>
          <w14:textFill>
            <w14:solidFill>
              <w14:schemeClr w14:val="tx1"/>
            </w14:solidFill>
          </w14:textFill>
        </w:rPr>
        <w:t>项目主办处室可以选择</w:t>
      </w:r>
      <w:r>
        <w:rPr>
          <w:rFonts w:hint="eastAsia" w:ascii="仿宋" w:hAnsi="仿宋" w:eastAsia="仿宋" w:cs="宋体"/>
          <w:bCs/>
          <w:color w:val="000000" w:themeColor="text1"/>
          <w:sz w:val="28"/>
          <w:szCs w:val="28"/>
          <w:lang w:val="en-US" w:eastAsia="zh-CN"/>
          <w14:textFill>
            <w14:solidFill>
              <w14:schemeClr w14:val="tx1"/>
            </w14:solidFill>
          </w14:textFill>
        </w:rPr>
        <w:t>本项目废标</w:t>
      </w:r>
      <w:r>
        <w:rPr>
          <w:rFonts w:hint="eastAsia" w:ascii="仿宋" w:hAnsi="仿宋" w:eastAsia="仿宋" w:cs="宋体"/>
          <w:bCs/>
          <w:color w:val="000000" w:themeColor="text1"/>
          <w:sz w:val="28"/>
          <w:szCs w:val="28"/>
          <w:lang w:eastAsia="zh-CN"/>
          <w14:textFill>
            <w14:solidFill>
              <w14:schemeClr w14:val="tx1"/>
            </w14:solidFill>
          </w14:textFill>
        </w:rPr>
        <w:t>。</w:t>
      </w:r>
    </w:p>
    <w:p>
      <w:pPr>
        <w:spacing w:line="360" w:lineRule="auto"/>
        <w:rPr>
          <w:rFonts w:ascii="仿宋" w:hAnsi="仿宋" w:eastAsia="仿宋" w:cs="宋体"/>
          <w:bCs/>
          <w:sz w:val="28"/>
          <w:szCs w:val="28"/>
        </w:rPr>
      </w:pPr>
      <w:r>
        <w:rPr>
          <w:rFonts w:hint="eastAsia" w:ascii="仿宋" w:hAnsi="仿宋" w:eastAsia="仿宋" w:cs="宋体"/>
          <w:bCs/>
          <w:sz w:val="28"/>
          <w:szCs w:val="28"/>
          <w:lang w:val="en-US" w:eastAsia="zh-CN"/>
        </w:rPr>
        <w:t>6</w:t>
      </w:r>
      <w:r>
        <w:rPr>
          <w:rFonts w:hint="eastAsia" w:ascii="仿宋" w:hAnsi="仿宋" w:eastAsia="仿宋" w:cs="宋体"/>
          <w:bCs/>
          <w:sz w:val="28"/>
          <w:szCs w:val="28"/>
        </w:rPr>
        <w:t>、成交供应商拒绝与采购人签订合同的，采购人可以按照评审报告推荐的成交候选人名单排序，确定下一候选人为成交供应商，也可以重新开展政府采购活动。</w:t>
      </w:r>
    </w:p>
    <w:p>
      <w:pPr>
        <w:spacing w:line="360" w:lineRule="auto"/>
        <w:rPr>
          <w:rFonts w:ascii="仿宋" w:hAnsi="仿宋" w:eastAsia="仿宋" w:cs="宋体"/>
          <w:b/>
          <w:bCs/>
          <w:color w:val="FF0000"/>
          <w:sz w:val="28"/>
          <w:szCs w:val="28"/>
        </w:rPr>
      </w:pPr>
    </w:p>
    <w:p>
      <w:pPr>
        <w:widowControl/>
        <w:jc w:val="left"/>
        <w:rPr>
          <w:rFonts w:ascii="仿宋" w:hAnsi="仿宋" w:eastAsia="仿宋" w:cs="宋体"/>
          <w:bCs/>
          <w:sz w:val="28"/>
          <w:szCs w:val="28"/>
        </w:rPr>
      </w:pPr>
      <w:r>
        <w:rPr>
          <w:rFonts w:ascii="仿宋" w:hAnsi="仿宋" w:eastAsia="仿宋" w:cs="宋体"/>
          <w:bCs/>
          <w:sz w:val="28"/>
          <w:szCs w:val="28"/>
        </w:rPr>
        <w:br w:type="page"/>
      </w:r>
    </w:p>
    <w:p>
      <w:pPr>
        <w:spacing w:line="360" w:lineRule="auto"/>
        <w:jc w:val="center"/>
        <w:rPr>
          <w:rFonts w:hint="eastAsia" w:ascii="方正黑体_GBK" w:hAnsi="方正黑体_GBK" w:eastAsia="方正黑体_GBK" w:cs="方正黑体_GBK"/>
          <w:b/>
          <w:bCs/>
          <w:sz w:val="36"/>
          <w:szCs w:val="32"/>
          <w:lang w:eastAsia="zh-CN"/>
        </w:rPr>
      </w:pPr>
      <w:r>
        <w:rPr>
          <w:rFonts w:hint="eastAsia" w:ascii="方正黑体_GBK" w:hAnsi="方正黑体_GBK" w:eastAsia="方正黑体_GBK" w:cs="方正黑体_GBK"/>
          <w:b/>
          <w:bCs/>
          <w:sz w:val="36"/>
          <w:szCs w:val="32"/>
        </w:rPr>
        <w:t>评分标准</w:t>
      </w:r>
      <w:r>
        <w:rPr>
          <w:rFonts w:hint="eastAsia" w:ascii="方正黑体_GBK" w:hAnsi="方正黑体_GBK" w:eastAsia="方正黑体_GBK" w:cs="方正黑体_GBK"/>
          <w:b/>
          <w:bCs/>
          <w:sz w:val="36"/>
          <w:szCs w:val="32"/>
          <w:lang w:eastAsia="zh-CN"/>
        </w:rPr>
        <w:t>和评分方法</w:t>
      </w:r>
    </w:p>
    <w:p>
      <w:pPr>
        <w:spacing w:line="302" w:lineRule="auto"/>
        <w:rPr>
          <w:rFonts w:ascii="宋体" w:hAnsi="宋体"/>
          <w:sz w:val="21"/>
          <w:szCs w:val="21"/>
        </w:rPr>
      </w:pPr>
      <w:r>
        <w:rPr>
          <w:rFonts w:hint="eastAsia" w:ascii="宋体" w:hAnsi="宋体"/>
          <w:sz w:val="21"/>
          <w:szCs w:val="21"/>
        </w:rPr>
        <w:t>1、评分方法：采用综合评分法，满分为</w:t>
      </w:r>
      <w:r>
        <w:rPr>
          <w:rFonts w:ascii="宋体" w:hAnsi="宋体"/>
          <w:sz w:val="21"/>
          <w:szCs w:val="21"/>
        </w:rPr>
        <w:t>100</w:t>
      </w:r>
      <w:r>
        <w:rPr>
          <w:rFonts w:hint="eastAsia" w:ascii="宋体" w:hAnsi="宋体"/>
          <w:sz w:val="21"/>
          <w:szCs w:val="21"/>
        </w:rPr>
        <w:t>分。</w:t>
      </w:r>
    </w:p>
    <w:p>
      <w:pPr>
        <w:spacing w:line="302" w:lineRule="auto"/>
        <w:rPr>
          <w:rFonts w:ascii="宋体" w:hAnsi="宋体"/>
          <w:sz w:val="21"/>
          <w:szCs w:val="21"/>
        </w:rPr>
      </w:pPr>
      <w:r>
        <w:rPr>
          <w:rFonts w:hint="eastAsia" w:ascii="宋体" w:hAnsi="宋体"/>
          <w:sz w:val="21"/>
          <w:szCs w:val="21"/>
        </w:rPr>
        <w:t>2、价格分采用低价优先法计算，即满足遴选文件要求且报价最低的报价为评标基准价，其价格分为满分，其他</w:t>
      </w:r>
      <w:r>
        <w:rPr>
          <w:rFonts w:hint="eastAsia" w:ascii="宋体" w:hAnsi="宋体"/>
          <w:sz w:val="21"/>
          <w:szCs w:val="21"/>
          <w:lang w:eastAsia="zh-CN"/>
        </w:rPr>
        <w:t>供应商</w:t>
      </w:r>
      <w:r>
        <w:rPr>
          <w:rFonts w:hint="eastAsia" w:ascii="宋体" w:hAnsi="宋体"/>
          <w:sz w:val="21"/>
          <w:szCs w:val="21"/>
        </w:rPr>
        <w:t>的价格分统一按下列公式计算：</w:t>
      </w:r>
    </w:p>
    <w:p>
      <w:pPr>
        <w:spacing w:line="302" w:lineRule="auto"/>
        <w:rPr>
          <w:rFonts w:ascii="宋体" w:hAnsi="宋体"/>
          <w:sz w:val="21"/>
          <w:szCs w:val="21"/>
        </w:rPr>
      </w:pPr>
      <w:r>
        <w:rPr>
          <w:rFonts w:hint="eastAsia" w:ascii="宋体" w:hAnsi="宋体"/>
          <w:sz w:val="21"/>
          <w:szCs w:val="21"/>
        </w:rPr>
        <w:t>报价得分=（评标基准价/报价）×价格权值×100。</w:t>
      </w:r>
    </w:p>
    <w:p>
      <w:pPr>
        <w:spacing w:line="302" w:lineRule="auto"/>
        <w:rPr>
          <w:rFonts w:ascii="宋体" w:hAnsi="宋体"/>
          <w:sz w:val="21"/>
          <w:szCs w:val="21"/>
        </w:rPr>
      </w:pPr>
      <w:r>
        <w:rPr>
          <w:rFonts w:hint="eastAsia" w:ascii="宋体" w:hAnsi="宋体"/>
          <w:sz w:val="21"/>
          <w:szCs w:val="21"/>
        </w:rPr>
        <w:t>3、最低报价不作为成交保证。</w:t>
      </w:r>
    </w:p>
    <w:p>
      <w:pPr>
        <w:widowControl/>
        <w:adjustRightInd/>
        <w:spacing w:line="400" w:lineRule="exact"/>
        <w:jc w:val="both"/>
        <w:textAlignment w:val="auto"/>
        <w:rPr>
          <w:rFonts w:ascii="宋体" w:hAnsi="宋体"/>
          <w:sz w:val="21"/>
          <w:szCs w:val="21"/>
        </w:rPr>
      </w:pPr>
      <w:r>
        <w:rPr>
          <w:rFonts w:hint="eastAsia" w:ascii="宋体" w:hAnsi="宋体"/>
          <w:sz w:val="21"/>
          <w:szCs w:val="21"/>
        </w:rPr>
        <w:t>4、本项目对属于小型和微型企业的</w:t>
      </w:r>
      <w:r>
        <w:rPr>
          <w:rFonts w:hint="eastAsia" w:ascii="宋体" w:hAnsi="宋体"/>
          <w:sz w:val="21"/>
          <w:szCs w:val="21"/>
          <w:lang w:eastAsia="zh-CN"/>
        </w:rPr>
        <w:t>供应商</w:t>
      </w:r>
      <w:r>
        <w:rPr>
          <w:rFonts w:hint="eastAsia" w:ascii="宋体" w:hAnsi="宋体"/>
          <w:sz w:val="21"/>
          <w:szCs w:val="21"/>
        </w:rPr>
        <w:t>的报价给予6%的扣除，用扣除后的价格参与评审。</w:t>
      </w:r>
    </w:p>
    <w:p>
      <w:pPr>
        <w:widowControl/>
        <w:adjustRightInd/>
        <w:spacing w:line="400" w:lineRule="exact"/>
        <w:jc w:val="both"/>
        <w:textAlignment w:val="auto"/>
        <w:rPr>
          <w:rFonts w:hint="eastAsia" w:ascii="方正黑体_GBK" w:hAnsi="方正黑体_GBK" w:eastAsia="方正黑体_GBK" w:cs="方正黑体_GBK"/>
          <w:b/>
          <w:bCs/>
          <w:sz w:val="36"/>
          <w:szCs w:val="32"/>
        </w:rPr>
      </w:pPr>
      <w:r>
        <w:rPr>
          <w:rFonts w:hint="eastAsia" w:ascii="宋体" w:hAnsi="宋体"/>
          <w:sz w:val="21"/>
          <w:szCs w:val="21"/>
        </w:rPr>
        <w:t>5、具体评分标准：</w:t>
      </w:r>
    </w:p>
    <w:tbl>
      <w:tblPr>
        <w:tblStyle w:val="7"/>
        <w:tblpPr w:leftFromText="180" w:rightFromText="180" w:vertAnchor="text" w:horzAnchor="page" w:tblpX="1685" w:tblpY="329"/>
        <w:tblOverlap w:val="never"/>
        <w:tblW w:w="9214" w:type="dxa"/>
        <w:tblInd w:w="0" w:type="dxa"/>
        <w:tblLayout w:type="fixed"/>
        <w:tblCellMar>
          <w:top w:w="0" w:type="dxa"/>
          <w:left w:w="108" w:type="dxa"/>
          <w:bottom w:w="0" w:type="dxa"/>
          <w:right w:w="108" w:type="dxa"/>
        </w:tblCellMar>
      </w:tblPr>
      <w:tblGrid>
        <w:gridCol w:w="490"/>
        <w:gridCol w:w="1033"/>
        <w:gridCol w:w="1137"/>
        <w:gridCol w:w="5796"/>
        <w:gridCol w:w="758"/>
      </w:tblGrid>
      <w:tr>
        <w:tblPrEx>
          <w:tblCellMar>
            <w:top w:w="0" w:type="dxa"/>
            <w:left w:w="108" w:type="dxa"/>
            <w:bottom w:w="0" w:type="dxa"/>
            <w:right w:w="108" w:type="dxa"/>
          </w:tblCellMar>
        </w:tblPrEx>
        <w:trPr>
          <w:trHeight w:val="330" w:hRule="atLeast"/>
        </w:trPr>
        <w:tc>
          <w:tcPr>
            <w:tcW w:w="49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序号</w:t>
            </w:r>
          </w:p>
        </w:tc>
        <w:tc>
          <w:tcPr>
            <w:tcW w:w="2170" w:type="dxa"/>
            <w:gridSpan w:val="2"/>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评审因素</w:t>
            </w:r>
          </w:p>
        </w:tc>
        <w:tc>
          <w:tcPr>
            <w:tcW w:w="5796"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评分标准说明</w:t>
            </w:r>
          </w:p>
        </w:tc>
        <w:tc>
          <w:tcPr>
            <w:tcW w:w="758"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sz w:val="18"/>
                <w:szCs w:val="18"/>
              </w:rPr>
              <w:t>分值</w:t>
            </w:r>
          </w:p>
        </w:tc>
      </w:tr>
      <w:tr>
        <w:tblPrEx>
          <w:tblCellMar>
            <w:top w:w="0" w:type="dxa"/>
            <w:left w:w="108" w:type="dxa"/>
            <w:bottom w:w="0" w:type="dxa"/>
            <w:right w:w="108" w:type="dxa"/>
          </w:tblCellMar>
        </w:tblPrEx>
        <w:trPr>
          <w:trHeight w:val="913" w:hRule="atLeast"/>
        </w:trPr>
        <w:tc>
          <w:tcPr>
            <w:tcW w:w="490" w:type="dxa"/>
            <w:vMerge w:val="restart"/>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1</w:t>
            </w:r>
          </w:p>
        </w:tc>
        <w:tc>
          <w:tcPr>
            <w:tcW w:w="10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商务部分</w:t>
            </w:r>
            <w:r>
              <w:rPr>
                <w:rFonts w:hint="eastAsia" w:ascii="仿宋_GB2312" w:hAnsi="仿宋_GB2312" w:eastAsia="仿宋_GB2312" w:cs="仿宋_GB2312"/>
                <w:color w:val="000000"/>
                <w:sz w:val="18"/>
                <w:szCs w:val="18"/>
              </w:rPr>
              <w:br w:type="textWrapping"/>
            </w:r>
            <w:r>
              <w:rPr>
                <w:rFonts w:hint="eastAsia"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基本情况</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资信情况、财务状况良好（财务审计报告</w:t>
            </w:r>
            <w:r>
              <w:rPr>
                <w:rFonts w:hint="eastAsia" w:ascii="仿宋_GB2312" w:hAnsi="仿宋_GB2312" w:eastAsia="仿宋_GB2312" w:cs="仿宋_GB2312"/>
                <w:sz w:val="18"/>
                <w:szCs w:val="18"/>
                <w:lang w:eastAsia="zh-CN"/>
              </w:rPr>
              <w:t>等</w:t>
            </w:r>
            <w:r>
              <w:rPr>
                <w:rFonts w:hint="eastAsia" w:ascii="仿宋_GB2312" w:hAnsi="仿宋_GB2312" w:eastAsia="仿宋_GB2312" w:cs="仿宋_GB2312"/>
                <w:sz w:val="18"/>
                <w:szCs w:val="18"/>
              </w:rPr>
              <w:t>）</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0-5</w:t>
            </w:r>
          </w:p>
        </w:tc>
      </w:tr>
      <w:tr>
        <w:tblPrEx>
          <w:tblCellMar>
            <w:top w:w="0" w:type="dxa"/>
            <w:left w:w="108" w:type="dxa"/>
            <w:bottom w:w="0" w:type="dxa"/>
            <w:right w:w="108" w:type="dxa"/>
          </w:tblCellMar>
        </w:tblPrEx>
        <w:trPr>
          <w:trHeight w:val="1511" w:hRule="atLeast"/>
        </w:trPr>
        <w:tc>
          <w:tcPr>
            <w:tcW w:w="490" w:type="dxa"/>
            <w:vMerge w:val="continue"/>
            <w:tcBorders>
              <w:top w:val="nil"/>
              <w:left w:val="single" w:color="auto" w:sz="8" w:space="0"/>
              <w:bottom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eastAsia="zh-CN"/>
              </w:rPr>
              <w:t>供应商</w:t>
            </w:r>
            <w:r>
              <w:rPr>
                <w:rFonts w:hint="eastAsia" w:ascii="仿宋_GB2312" w:hAnsi="仿宋_GB2312" w:eastAsia="仿宋_GB2312" w:cs="仿宋_GB2312"/>
                <w:sz w:val="18"/>
                <w:szCs w:val="18"/>
              </w:rPr>
              <w:t>的业绩</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20</w:t>
            </w:r>
            <w:r>
              <w:rPr>
                <w:rFonts w:hint="eastAsia" w:ascii="仿宋_GB2312" w:hAnsi="仿宋_GB2312" w:eastAsia="仿宋_GB2312" w:cs="仿宋_GB2312"/>
                <w:sz w:val="18"/>
                <w:szCs w:val="18"/>
              </w:rPr>
              <w:t>分）</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供应商近三年（2019年1月起至本采购活动遴选公告发布前（以合同签订日期为准））承接过类似服务业绩，每提供1个业绩得5分，最多得20分。</w:t>
            </w:r>
            <w:r>
              <w:rPr>
                <w:rFonts w:hint="eastAsia" w:ascii="仿宋_GB2312" w:hAnsi="仿宋_GB2312" w:eastAsia="仿宋_GB2312" w:cs="仿宋_GB2312"/>
                <w:sz w:val="18"/>
                <w:szCs w:val="18"/>
                <w:lang w:val="en-US" w:eastAsia="zh-CN"/>
              </w:rPr>
              <w:br w:type="textWrapping"/>
            </w:r>
            <w:r>
              <w:rPr>
                <w:rFonts w:hint="eastAsia" w:ascii="仿宋_GB2312" w:hAnsi="仿宋_GB2312" w:eastAsia="仿宋_GB2312" w:cs="仿宋_GB2312"/>
                <w:sz w:val="18"/>
                <w:szCs w:val="18"/>
                <w:lang w:val="en-US" w:eastAsia="zh-CN"/>
              </w:rPr>
              <w:t>注：需提供业绩合同或协议复印件并加盖公章，如无材料证明或证明材料不完整，上述内容将视为零分。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0-20</w:t>
            </w:r>
          </w:p>
        </w:tc>
      </w:tr>
      <w:tr>
        <w:tblPrEx>
          <w:tblCellMar>
            <w:top w:w="0" w:type="dxa"/>
            <w:left w:w="108" w:type="dxa"/>
            <w:bottom w:w="0" w:type="dxa"/>
            <w:right w:w="108" w:type="dxa"/>
          </w:tblCellMar>
        </w:tblPrEx>
        <w:trPr>
          <w:trHeight w:val="420" w:hRule="atLeast"/>
        </w:trPr>
        <w:tc>
          <w:tcPr>
            <w:tcW w:w="490" w:type="dxa"/>
            <w:vMerge w:val="restart"/>
            <w:tcBorders>
              <w:top w:val="nil"/>
              <w:left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2</w:t>
            </w:r>
          </w:p>
        </w:tc>
        <w:tc>
          <w:tcPr>
            <w:tcW w:w="103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技术部分（6</w:t>
            </w:r>
            <w:r>
              <w:rPr>
                <w:rFonts w:hint="eastAsia" w:ascii="仿宋_GB2312" w:hAnsi="仿宋_GB2312" w:eastAsia="仿宋_GB2312" w:cs="仿宋_GB2312"/>
                <w:color w:val="000000"/>
                <w:sz w:val="18"/>
                <w:szCs w:val="18"/>
                <w:lang w:val="en-US" w:eastAsia="zh-CN"/>
              </w:rPr>
              <w:t>5</w:t>
            </w:r>
            <w:r>
              <w:rPr>
                <w:rFonts w:hint="eastAsia" w:ascii="仿宋_GB2312" w:hAnsi="仿宋_GB2312" w:eastAsia="仿宋_GB2312" w:cs="仿宋_GB2312"/>
                <w:color w:val="000000"/>
                <w:sz w:val="18"/>
                <w:szCs w:val="18"/>
              </w:rPr>
              <w:t>分）</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方案科学合理性强、内容详细全面，可行性强,得25-35分；项目方案科学合理性较强、内容较为详细全面，可行性较好,得9-24分；项目方案科学合理、内容一般，有可行性,得1-8分；项目方案科学合理较差、内容不充实，可行性差,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0-35</w:t>
            </w:r>
          </w:p>
        </w:tc>
      </w:tr>
      <w:tr>
        <w:tblPrEx>
          <w:tblCellMar>
            <w:top w:w="0" w:type="dxa"/>
            <w:left w:w="108" w:type="dxa"/>
            <w:bottom w:w="0" w:type="dxa"/>
            <w:right w:w="108" w:type="dxa"/>
          </w:tblCellMar>
        </w:tblPrEx>
        <w:trPr>
          <w:trHeight w:val="420" w:hRule="atLeast"/>
        </w:trPr>
        <w:tc>
          <w:tcPr>
            <w:tcW w:w="490" w:type="dxa"/>
            <w:vMerge w:val="continue"/>
            <w:tcBorders>
              <w:left w:val="single" w:color="auto" w:sz="8" w:space="0"/>
              <w:right w:val="single" w:color="auto" w:sz="4" w:space="0"/>
            </w:tcBorders>
            <w:noWrap w:val="0"/>
            <w:vAlign w:val="center"/>
          </w:tcPr>
          <w:p>
            <w:pPr>
              <w:widowControl/>
              <w:jc w:val="center"/>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项目人员配备</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lang w:eastAsia="zh-CN"/>
              </w:rPr>
            </w:pPr>
            <w:r>
              <w:rPr>
                <w:rFonts w:hint="eastAsia" w:ascii="仿宋_GB2312" w:hAnsi="仿宋_GB2312" w:eastAsia="仿宋_GB2312" w:cs="仿宋_GB2312"/>
                <w:i w:val="0"/>
                <w:color w:val="000000"/>
                <w:kern w:val="0"/>
                <w:sz w:val="18"/>
                <w:szCs w:val="18"/>
                <w:u w:val="none"/>
                <w:lang w:val="en-US" w:eastAsia="zh-CN" w:bidi="ar-SA"/>
              </w:rPr>
              <w:t>拟投入本项目团队人员评价：</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（1）类似工作经验丰富，学历（专业）优于/符合要求，分工明确，与项目实际契合度高，得7-10分；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（2）类似工作经验较丰富，学历（专业）符合要求，分工较明确，与项目实际契合度较高，得4-6分；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（3）类似工作经验一般，学历（专业）基本满足要求，分工一般，与项目实际契合度一般，得1-3分；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（4）类似工作经验较差，学历（专业）较差，分工不明确，无法满足实际需要，得0分。</w:t>
            </w:r>
            <w:r>
              <w:rPr>
                <w:rFonts w:hint="eastAsia" w:ascii="仿宋_GB2312" w:hAnsi="仿宋_GB2312" w:eastAsia="仿宋_GB2312" w:cs="仿宋_GB2312"/>
                <w:i w:val="0"/>
                <w:color w:val="000000"/>
                <w:kern w:val="0"/>
                <w:sz w:val="18"/>
                <w:szCs w:val="18"/>
                <w:u w:val="none"/>
                <w:lang w:val="en-US" w:eastAsia="zh-CN" w:bidi="ar-SA"/>
              </w:rPr>
              <w:br w:type="textWrapping"/>
            </w:r>
            <w:r>
              <w:rPr>
                <w:rFonts w:hint="eastAsia" w:ascii="仿宋_GB2312" w:hAnsi="仿宋_GB2312" w:eastAsia="仿宋_GB2312" w:cs="仿宋_GB2312"/>
                <w:i w:val="0"/>
                <w:color w:val="000000"/>
                <w:kern w:val="0"/>
                <w:sz w:val="18"/>
                <w:szCs w:val="18"/>
                <w:u w:val="none"/>
                <w:lang w:val="en-US" w:eastAsia="zh-CN" w:bidi="ar-SA"/>
              </w:rPr>
              <w:t>注：需提供项目团队人员劳动合同复印件、工作简历、学历证书复印件。</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163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质量保证措施</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sz w:val="18"/>
                <w:szCs w:val="18"/>
              </w:rPr>
            </w:pPr>
            <w:r>
              <w:rPr>
                <w:rFonts w:hint="eastAsia" w:ascii="仿宋_GB2312" w:hAnsi="仿宋_GB2312" w:eastAsia="仿宋_GB2312" w:cs="仿宋_GB2312"/>
                <w:i w:val="0"/>
                <w:color w:val="000000"/>
                <w:kern w:val="0"/>
                <w:sz w:val="18"/>
                <w:szCs w:val="18"/>
                <w:u w:val="none"/>
                <w:lang w:val="en-US" w:eastAsia="zh-CN" w:bidi="ar-SA"/>
              </w:rPr>
              <w:t>供应商质量管理体系健全，技术支持有保障，人员安排合理，能够在服务期内高质量完成合同要求。优秀的，得7-10分；良好的，得4-6分；一般的，得1-3分；较差的，得0分。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2355" w:hRule="atLeast"/>
        </w:trPr>
        <w:tc>
          <w:tcPr>
            <w:tcW w:w="490" w:type="dxa"/>
            <w:vMerge w:val="continue"/>
            <w:tcBorders>
              <w:left w:val="single" w:color="auto" w:sz="8" w:space="0"/>
              <w:right w:val="single" w:color="auto" w:sz="4" w:space="0"/>
            </w:tcBorders>
            <w:noWrap w:val="0"/>
            <w:vAlign w:val="center"/>
          </w:tcPr>
          <w:p>
            <w:pPr>
              <w:widowControl/>
              <w:rPr>
                <w:rFonts w:ascii="宋体" w:hAnsi="宋体" w:cs="Arial"/>
                <w:color w:val="000000"/>
                <w:sz w:val="18"/>
                <w:szCs w:val="18"/>
              </w:rPr>
            </w:pPr>
          </w:p>
        </w:tc>
        <w:tc>
          <w:tcPr>
            <w:tcW w:w="1033" w:type="dxa"/>
            <w:vMerge w:val="continue"/>
            <w:tcBorders>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color w:val="000000"/>
                <w:sz w:val="18"/>
                <w:szCs w:val="18"/>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服务承诺</w:t>
            </w:r>
          </w:p>
        </w:tc>
        <w:tc>
          <w:tcPr>
            <w:tcW w:w="5796"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i w:val="0"/>
                <w:color w:val="000000"/>
                <w:kern w:val="0"/>
                <w:sz w:val="18"/>
                <w:szCs w:val="18"/>
                <w:u w:val="none"/>
                <w:lang w:val="en-US" w:eastAsia="zh-CN" w:bidi="ar-SA"/>
              </w:rPr>
            </w:pPr>
            <w:r>
              <w:rPr>
                <w:rStyle w:val="17"/>
                <w:rFonts w:hint="eastAsia" w:ascii="仿宋_GB2312" w:hAnsi="仿宋_GB2312" w:eastAsia="仿宋_GB2312" w:cs="仿宋_GB2312"/>
                <w:sz w:val="18"/>
                <w:szCs w:val="18"/>
                <w:lang w:val="en-US" w:eastAsia="zh-CN" w:bidi="ar-SA"/>
              </w:rPr>
              <w:t>供应商须提供沟通机制，内容包括①服务人员安排②沟通方案，要求有专人定期沟通、配合。优秀的，得</w:t>
            </w:r>
            <w:r>
              <w:rPr>
                <w:rFonts w:hint="eastAsia" w:ascii="仿宋_GB2312" w:hAnsi="仿宋_GB2312" w:eastAsia="仿宋_GB2312" w:cs="仿宋_GB2312"/>
                <w:i w:val="0"/>
                <w:color w:val="000000"/>
                <w:kern w:val="0"/>
                <w:sz w:val="18"/>
                <w:szCs w:val="18"/>
                <w:u w:val="none"/>
                <w:lang w:val="en-US" w:eastAsia="zh-CN" w:bidi="ar-SA"/>
              </w:rPr>
              <w:t>7-10</w:t>
            </w:r>
            <w:r>
              <w:rPr>
                <w:rStyle w:val="17"/>
                <w:rFonts w:hint="eastAsia" w:ascii="仿宋_GB2312" w:hAnsi="仿宋_GB2312" w:eastAsia="仿宋_GB2312" w:cs="仿宋_GB2312"/>
                <w:sz w:val="18"/>
                <w:szCs w:val="18"/>
                <w:lang w:val="en-US" w:eastAsia="zh-CN" w:bidi="ar-SA"/>
              </w:rPr>
              <w:t>分；良好的，得</w:t>
            </w:r>
            <w:r>
              <w:rPr>
                <w:rFonts w:hint="eastAsia" w:ascii="仿宋_GB2312" w:hAnsi="仿宋_GB2312" w:eastAsia="仿宋_GB2312" w:cs="仿宋_GB2312"/>
                <w:i w:val="0"/>
                <w:color w:val="000000"/>
                <w:kern w:val="0"/>
                <w:sz w:val="18"/>
                <w:szCs w:val="18"/>
                <w:u w:val="none"/>
                <w:lang w:val="en-US" w:eastAsia="zh-CN" w:bidi="ar-SA"/>
              </w:rPr>
              <w:t>4-6</w:t>
            </w:r>
            <w:r>
              <w:rPr>
                <w:rStyle w:val="17"/>
                <w:rFonts w:hint="eastAsia" w:ascii="仿宋_GB2312" w:hAnsi="仿宋_GB2312" w:eastAsia="仿宋_GB2312" w:cs="仿宋_GB2312"/>
                <w:sz w:val="18"/>
                <w:szCs w:val="18"/>
                <w:lang w:val="en-US" w:eastAsia="zh-CN" w:bidi="ar-SA"/>
              </w:rPr>
              <w:t>分；一般的，得</w:t>
            </w:r>
            <w:r>
              <w:rPr>
                <w:rFonts w:hint="eastAsia" w:ascii="仿宋_GB2312" w:hAnsi="仿宋_GB2312" w:eastAsia="仿宋_GB2312" w:cs="仿宋_GB2312"/>
                <w:i w:val="0"/>
                <w:color w:val="000000"/>
                <w:kern w:val="0"/>
                <w:sz w:val="18"/>
                <w:szCs w:val="18"/>
                <w:u w:val="none"/>
                <w:lang w:val="en-US" w:eastAsia="zh-CN" w:bidi="ar-SA"/>
              </w:rPr>
              <w:t>1-3</w:t>
            </w:r>
            <w:r>
              <w:rPr>
                <w:rStyle w:val="17"/>
                <w:rFonts w:hint="eastAsia" w:ascii="仿宋_GB2312" w:hAnsi="仿宋_GB2312" w:eastAsia="仿宋_GB2312" w:cs="仿宋_GB2312"/>
                <w:sz w:val="18"/>
                <w:szCs w:val="18"/>
                <w:lang w:val="en-US" w:eastAsia="zh-CN" w:bidi="ar-SA"/>
              </w:rPr>
              <w:t>分；较差的，得</w:t>
            </w:r>
            <w:r>
              <w:rPr>
                <w:rFonts w:hint="eastAsia" w:ascii="仿宋_GB2312" w:hAnsi="仿宋_GB2312" w:eastAsia="仿宋_GB2312" w:cs="仿宋_GB2312"/>
                <w:i w:val="0"/>
                <w:color w:val="000000"/>
                <w:kern w:val="0"/>
                <w:sz w:val="18"/>
                <w:szCs w:val="18"/>
                <w:u w:val="none"/>
                <w:lang w:val="en-US" w:eastAsia="zh-CN" w:bidi="ar-SA"/>
              </w:rPr>
              <w:t>0</w:t>
            </w:r>
            <w:r>
              <w:rPr>
                <w:rStyle w:val="17"/>
                <w:rFonts w:hint="eastAsia" w:ascii="仿宋_GB2312" w:hAnsi="仿宋_GB2312" w:eastAsia="仿宋_GB2312" w:cs="仿宋_GB2312"/>
                <w:sz w:val="18"/>
                <w:szCs w:val="18"/>
                <w:lang w:val="en-US" w:eastAsia="zh-CN" w:bidi="ar-SA"/>
              </w:rPr>
              <w:t>分。</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0-10</w:t>
            </w:r>
          </w:p>
        </w:tc>
      </w:tr>
      <w:tr>
        <w:tblPrEx>
          <w:tblCellMar>
            <w:top w:w="0" w:type="dxa"/>
            <w:left w:w="108" w:type="dxa"/>
            <w:bottom w:w="0" w:type="dxa"/>
            <w:right w:w="108" w:type="dxa"/>
          </w:tblCellMar>
        </w:tblPrEx>
        <w:trPr>
          <w:trHeight w:val="510" w:hRule="atLeast"/>
        </w:trPr>
        <w:tc>
          <w:tcPr>
            <w:tcW w:w="490"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Arial"/>
                <w:color w:val="000000"/>
                <w:sz w:val="18"/>
                <w:szCs w:val="18"/>
              </w:rPr>
            </w:pPr>
            <w:r>
              <w:rPr>
                <w:rFonts w:ascii="宋体" w:hAnsi="宋体" w:cs="Arial"/>
                <w:color w:val="000000"/>
                <w:sz w:val="18"/>
                <w:szCs w:val="18"/>
              </w:rPr>
              <w:t>3</w:t>
            </w:r>
          </w:p>
        </w:tc>
        <w:tc>
          <w:tcPr>
            <w:tcW w:w="10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投标报价（10分）</w:t>
            </w:r>
          </w:p>
        </w:tc>
        <w:tc>
          <w:tcPr>
            <w:tcW w:w="693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报价得分=（评标基准价/报价）×价格权值×100</w:t>
            </w:r>
          </w:p>
        </w:tc>
        <w:tc>
          <w:tcPr>
            <w:tcW w:w="758" w:type="dxa"/>
            <w:tcBorders>
              <w:top w:val="nil"/>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val="en-US" w:eastAsia="zh-CN"/>
              </w:rPr>
              <w:t>0-</w:t>
            </w:r>
            <w:r>
              <w:rPr>
                <w:rFonts w:hint="eastAsia" w:ascii="仿宋_GB2312" w:hAnsi="仿宋_GB2312" w:eastAsia="仿宋_GB2312" w:cs="仿宋_GB2312"/>
                <w:color w:val="000000"/>
                <w:sz w:val="18"/>
                <w:szCs w:val="18"/>
              </w:rPr>
              <w:t>10</w:t>
            </w:r>
          </w:p>
        </w:tc>
      </w:tr>
    </w:tbl>
    <w:p>
      <w:pPr>
        <w:spacing w:line="360" w:lineRule="auto"/>
        <w:jc w:val="both"/>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06EFD077"/>
    <w:rsid w:val="1FF7C9F3"/>
    <w:rsid w:val="258D77C5"/>
    <w:rsid w:val="37FA1A10"/>
    <w:rsid w:val="3EFB10D2"/>
    <w:rsid w:val="473506D4"/>
    <w:rsid w:val="4EFF4872"/>
    <w:rsid w:val="533B5485"/>
    <w:rsid w:val="5AF10265"/>
    <w:rsid w:val="6F57F168"/>
    <w:rsid w:val="777E0C58"/>
    <w:rsid w:val="7EBB8D2D"/>
    <w:rsid w:val="7FFF8711"/>
    <w:rsid w:val="D5E970FD"/>
    <w:rsid w:val="F5BB972E"/>
    <w:rsid w:val="FEFE0FB5"/>
    <w:rsid w:val="FFDF8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nhideWhenUsed/>
    <w:qFormat/>
    <w:uiPriority w:val="99"/>
    <w:rPr>
      <w:b/>
      <w:bCs/>
    </w:rPr>
  </w:style>
  <w:style w:type="character" w:styleId="9">
    <w:name w:val="annotation reference"/>
    <w:basedOn w:val="8"/>
    <w:unhideWhenUsed/>
    <w:qFormat/>
    <w:uiPriority w:val="99"/>
    <w:rPr>
      <w:sz w:val="21"/>
      <w:szCs w:val="21"/>
    </w:rPr>
  </w:style>
  <w:style w:type="paragraph" w:customStyle="1" w:styleId="10">
    <w:name w:val="List Paragraph"/>
    <w:basedOn w:val="1"/>
    <w:link w:val="13"/>
    <w:qFormat/>
    <w:uiPriority w:val="34"/>
    <w:pPr>
      <w:ind w:firstLine="420" w:firstLineChars="200"/>
    </w:pPr>
    <w:rPr>
      <w:rFonts w:ascii="Calibri" w:hAnsi="Calibri"/>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列出段落 Char"/>
    <w:link w:val="10"/>
    <w:qFormat/>
    <w:uiPriority w:val="34"/>
    <w:rPr>
      <w:rFonts w:ascii="Calibri" w:hAnsi="Calibri"/>
    </w:rPr>
  </w:style>
  <w:style w:type="character" w:customStyle="1" w:styleId="14">
    <w:name w:val="批注文字 Char"/>
    <w:basedOn w:val="8"/>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8"/>
    <w:link w:val="3"/>
    <w:semiHidden/>
    <w:qFormat/>
    <w:uiPriority w:val="99"/>
    <w:rPr>
      <w:sz w:val="18"/>
      <w:szCs w:val="18"/>
    </w:rPr>
  </w:style>
  <w:style w:type="character" w:customStyle="1" w:styleId="17">
    <w:name w:val="font3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1639</Words>
  <Characters>1705</Characters>
  <Lines>15</Lines>
  <Paragraphs>4</Paragraphs>
  <TotalTime>1</TotalTime>
  <ScaleCrop>false</ScaleCrop>
  <LinksUpToDate>false</LinksUpToDate>
  <CharactersWithSpaces>1705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2022-04-21T20:00:00Z</dcterms:created>
  <dc:creator>强文晓</dc:creator>
  <cp:lastModifiedBy>admin</cp:lastModifiedBy>
  <cp:lastPrinted>2022-05-26T07:59:00Z</cp:lastPrinted>
  <dcterms:modified xsi:type="dcterms:W3CDTF">2024-07-16T11:57:50Z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C5C069B44ED14A5184518C148979D706</vt:lpwstr>
  </property>
</Properties>
</file>