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cs="宋体"/>
          <w:b/>
          <w:bCs/>
          <w:sz w:val="32"/>
          <w:szCs w:val="28"/>
        </w:rPr>
      </w:pPr>
      <w:r>
        <w:rPr>
          <w:rFonts w:ascii="仿宋" w:hAnsi="仿宋" w:eastAsia="仿宋" w:cs="宋体"/>
          <w:b/>
          <w:bCs/>
          <w:sz w:val="32"/>
          <w:szCs w:val="28"/>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outlineLvl w:val="1"/>
        <w:rPr>
          <w:rFonts w:ascii="仿宋" w:hAnsi="仿宋" w:eastAsia="仿宋" w:cs="宋体"/>
          <w:bCs/>
          <w:sz w:val="28"/>
          <w:szCs w:val="28"/>
        </w:rPr>
      </w:pPr>
      <w:r>
        <w:rPr>
          <w:rFonts w:hint="eastAsia" w:ascii="仿宋" w:hAnsi="仿宋" w:eastAsia="仿宋" w:cs="宋体"/>
          <w:bCs/>
          <w:sz w:val="28"/>
          <w:szCs w:val="28"/>
        </w:rPr>
        <w:t>商务审查表</w:t>
      </w:r>
    </w:p>
    <w:tbl>
      <w:tblPr>
        <w:tblStyle w:val="10"/>
        <w:tblW w:w="8528" w:type="dxa"/>
        <w:tblInd w:w="0" w:type="dxa"/>
        <w:tblLayout w:type="fixed"/>
        <w:tblCellMar>
          <w:top w:w="0" w:type="dxa"/>
          <w:left w:w="108" w:type="dxa"/>
          <w:bottom w:w="0" w:type="dxa"/>
          <w:right w:w="108" w:type="dxa"/>
        </w:tblCellMar>
      </w:tblPr>
      <w:tblGrid>
        <w:gridCol w:w="1102"/>
        <w:gridCol w:w="4042"/>
        <w:gridCol w:w="3384"/>
      </w:tblGrid>
      <w:tr>
        <w:tblPrEx>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8"/>
                <w:szCs w:val="28"/>
              </w:rPr>
              <w:t>审查内容</w:t>
            </w:r>
          </w:p>
        </w:tc>
      </w:tr>
      <w:tr>
        <w:tblPrEx>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成交候选人。评分分值计算保留小数点后两位，第三位四舍五入。</w:t>
      </w:r>
    </w:p>
    <w:p>
      <w:pPr>
        <w:spacing w:line="360" w:lineRule="auto"/>
        <w:rPr>
          <w:rFonts w:ascii="仿宋" w:hAnsi="仿宋" w:eastAsia="仿宋" w:cs="宋体"/>
          <w:b/>
          <w:bCs/>
          <w:color w:val="FF0000"/>
          <w:sz w:val="28"/>
          <w:szCs w:val="28"/>
        </w:rPr>
      </w:pPr>
      <w:r>
        <w:rPr>
          <w:rFonts w:hint="eastAsia" w:ascii="仿宋" w:hAnsi="仿宋" w:eastAsia="仿宋" w:cs="宋体"/>
          <w:b/>
          <w:bCs/>
          <w:color w:val="FF0000"/>
          <w:sz w:val="28"/>
          <w:szCs w:val="28"/>
        </w:rPr>
        <w:t>5、本项目如仅有1家供应商进入到综合打分，则该供应商的总分应不低于60分，否则按废标处理。</w:t>
      </w:r>
    </w:p>
    <w:p>
      <w:pPr>
        <w:spacing w:line="360" w:lineRule="auto"/>
        <w:rPr>
          <w:rFonts w:ascii="仿宋" w:hAnsi="仿宋" w:eastAsia="仿宋" w:cs="宋体"/>
          <w:bCs/>
          <w:sz w:val="28"/>
          <w:szCs w:val="28"/>
        </w:rPr>
      </w:pPr>
      <w:r>
        <w:rPr>
          <w:rFonts w:hint="eastAsia" w:ascii="仿宋" w:hAnsi="仿宋" w:eastAsia="仿宋" w:cs="宋体"/>
          <w:bCs/>
          <w:sz w:val="28"/>
          <w:szCs w:val="28"/>
        </w:rPr>
        <w:t>6、成交供应商拒绝与采购人签订合同的，采购人可以按照评审报告推荐的成交候选人名单排序，确定下一候选人为成交供应商，也可以重新开展政府采购活动。</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pStyle w:val="4"/>
      </w:pPr>
      <w:r>
        <w:t>评分表</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191"/>
        <w:gridCol w:w="5106"/>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2" w:type="dxa"/>
            <w:vAlign w:val="center"/>
          </w:tcPr>
          <w:p>
            <w:pPr>
              <w:pStyle w:val="2"/>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内容</w:t>
            </w:r>
          </w:p>
        </w:tc>
        <w:tc>
          <w:tcPr>
            <w:tcW w:w="1191" w:type="dxa"/>
            <w:vAlign w:val="center"/>
          </w:tcPr>
          <w:p>
            <w:pPr>
              <w:pStyle w:val="2"/>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评分内容</w:t>
            </w:r>
          </w:p>
        </w:tc>
        <w:tc>
          <w:tcPr>
            <w:tcW w:w="5106" w:type="dxa"/>
            <w:vAlign w:val="center"/>
          </w:tcPr>
          <w:p>
            <w:pPr>
              <w:pStyle w:val="2"/>
              <w:ind w:firstLine="0" w:firstLineChars="0"/>
              <w:jc w:val="center"/>
              <w:rPr>
                <w:rFonts w:ascii="仿宋" w:hAnsi="仿宋" w:eastAsia="仿宋"/>
                <w:color w:val="auto"/>
                <w:sz w:val="21"/>
                <w:szCs w:val="21"/>
                <w:highlight w:val="none"/>
              </w:rPr>
            </w:pPr>
            <w:r>
              <w:rPr>
                <w:rFonts w:hint="eastAsia" w:ascii="仿宋" w:hAnsi="仿宋" w:eastAsia="仿宋"/>
                <w:b/>
                <w:color w:val="auto"/>
                <w:sz w:val="21"/>
                <w:szCs w:val="21"/>
                <w:highlight w:val="none"/>
              </w:rPr>
              <w:t>评标标准</w:t>
            </w:r>
          </w:p>
        </w:tc>
        <w:tc>
          <w:tcPr>
            <w:tcW w:w="851" w:type="dxa"/>
            <w:vAlign w:val="center"/>
          </w:tcPr>
          <w:p>
            <w:pPr>
              <w:pStyle w:val="2"/>
              <w:ind w:firstLine="0" w:firstLineChars="0"/>
              <w:jc w:val="center"/>
              <w:rPr>
                <w:rFonts w:ascii="仿宋" w:hAnsi="仿宋" w:eastAsia="仿宋"/>
                <w:b/>
                <w:color w:val="auto"/>
                <w:sz w:val="21"/>
                <w:szCs w:val="21"/>
                <w:highlight w:val="none"/>
              </w:rPr>
            </w:pPr>
            <w:r>
              <w:rPr>
                <w:rFonts w:hint="eastAsia" w:ascii="仿宋" w:hAnsi="仿宋" w:eastAsia="仿宋"/>
                <w:b/>
                <w:color w:val="auto"/>
                <w:sz w:val="21"/>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Align w:val="center"/>
          </w:tcPr>
          <w:p>
            <w:pPr>
              <w:pStyle w:val="2"/>
              <w:ind w:firstLine="0"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价格部分（10分）</w:t>
            </w:r>
          </w:p>
        </w:tc>
        <w:tc>
          <w:tcPr>
            <w:tcW w:w="1191" w:type="dxa"/>
            <w:vAlign w:val="center"/>
          </w:tcPr>
          <w:p>
            <w:pPr>
              <w:pStyle w:val="2"/>
              <w:ind w:firstLine="0" w:firstLineChars="0"/>
              <w:jc w:val="center"/>
              <w:rPr>
                <w:rFonts w:ascii="仿宋" w:hAnsi="仿宋" w:eastAsia="仿宋" w:cs="宋体"/>
                <w:b/>
                <w:bCs/>
                <w:color w:val="auto"/>
                <w:sz w:val="21"/>
                <w:szCs w:val="21"/>
                <w:highlight w:val="none"/>
              </w:rPr>
            </w:pPr>
            <w:r>
              <w:rPr>
                <w:rFonts w:hint="eastAsia" w:ascii="仿宋" w:hAnsi="仿宋" w:eastAsia="仿宋" w:cs="宋体"/>
                <w:b/>
                <w:bCs/>
                <w:color w:val="auto"/>
                <w:sz w:val="21"/>
                <w:szCs w:val="21"/>
                <w:highlight w:val="none"/>
              </w:rPr>
              <w:t>遴选报价</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（10分）</w:t>
            </w:r>
          </w:p>
        </w:tc>
        <w:tc>
          <w:tcPr>
            <w:tcW w:w="5106" w:type="dxa"/>
            <w:vAlign w:val="center"/>
          </w:tcPr>
          <w:p>
            <w:pPr>
              <w:rPr>
                <w:rFonts w:ascii="仿宋" w:hAnsi="仿宋" w:eastAsia="仿宋"/>
                <w:color w:val="auto"/>
                <w:szCs w:val="21"/>
                <w:highlight w:val="none"/>
              </w:rPr>
            </w:pPr>
            <w:r>
              <w:rPr>
                <w:rFonts w:hint="eastAsia" w:ascii="仿宋" w:hAnsi="仿宋" w:eastAsia="仿宋" w:cs="仿宋_GB2312"/>
                <w:color w:val="auto"/>
                <w:szCs w:val="21"/>
                <w:highlight w:val="none"/>
              </w:rPr>
              <w:t>综合评分法中的价格分统一采用低价优先法计算，即满足遴选文件要求且价格最低的评审价为评标基准价，其价格分为满分。</w:t>
            </w:r>
            <w:r>
              <w:rPr>
                <w:rFonts w:hint="eastAsia" w:ascii="仿宋" w:hAnsi="仿宋" w:eastAsia="仿宋" w:cs="仿宋_GB2312"/>
                <w:color w:val="auto"/>
                <w:sz w:val="21"/>
                <w:szCs w:val="21"/>
                <w:highlight w:val="none"/>
              </w:rPr>
              <w:t>其他供应商的价格分统一按照下列公式计算：价格分数=（基准价/遴选报价）×价格权值1</w:t>
            </w:r>
            <w:r>
              <w:rPr>
                <w:rFonts w:ascii="仿宋" w:hAnsi="仿宋" w:eastAsia="仿宋" w:cs="仿宋_GB2312"/>
                <w:color w:val="auto"/>
                <w:sz w:val="21"/>
                <w:szCs w:val="21"/>
                <w:highlight w:val="none"/>
              </w:rPr>
              <w:t>0%</w:t>
            </w:r>
            <w:r>
              <w:rPr>
                <w:rFonts w:hint="eastAsia" w:ascii="仿宋" w:hAnsi="仿宋" w:eastAsia="仿宋" w:cs="仿宋_GB2312"/>
                <w:color w:val="auto"/>
                <w:sz w:val="21"/>
                <w:szCs w:val="21"/>
                <w:highlight w:val="none"/>
              </w:rPr>
              <w:t>×10</w:t>
            </w:r>
            <w:r>
              <w:rPr>
                <w:rFonts w:ascii="仿宋" w:hAnsi="仿宋" w:eastAsia="仿宋" w:cs="仿宋_GB2312"/>
                <w:color w:val="auto"/>
                <w:sz w:val="21"/>
                <w:szCs w:val="21"/>
                <w:highlight w:val="none"/>
              </w:rPr>
              <w:t>0</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82" w:type="dxa"/>
            <w:vMerge w:val="restart"/>
            <w:vAlign w:val="center"/>
          </w:tcPr>
          <w:p>
            <w:pPr>
              <w:pStyle w:val="2"/>
              <w:ind w:firstLine="0"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lang w:eastAsia="zh-CN"/>
              </w:rPr>
              <w:t>商务部分</w:t>
            </w: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2</w:t>
            </w:r>
            <w:r>
              <w:rPr>
                <w:rFonts w:ascii="仿宋" w:hAnsi="仿宋" w:eastAsia="仿宋"/>
                <w:b/>
                <w:bCs/>
                <w:color w:val="auto"/>
                <w:sz w:val="21"/>
                <w:szCs w:val="21"/>
                <w:highlight w:val="none"/>
              </w:rPr>
              <w:t>0</w:t>
            </w:r>
            <w:r>
              <w:rPr>
                <w:rFonts w:hint="eastAsia" w:ascii="仿宋" w:hAnsi="仿宋" w:eastAsia="仿宋"/>
                <w:b/>
                <w:bCs/>
                <w:color w:val="auto"/>
                <w:sz w:val="21"/>
                <w:szCs w:val="21"/>
                <w:highlight w:val="none"/>
              </w:rPr>
              <w:t>分）</w:t>
            </w:r>
          </w:p>
        </w:tc>
        <w:tc>
          <w:tcPr>
            <w:tcW w:w="1191" w:type="dxa"/>
            <w:vAlign w:val="center"/>
          </w:tcPr>
          <w:p>
            <w:pPr>
              <w:pStyle w:val="2"/>
              <w:ind w:firstLine="0" w:firstLineChars="0"/>
              <w:jc w:val="center"/>
              <w:rPr>
                <w:rFonts w:hint="eastAsia" w:ascii="仿宋" w:hAnsi="仿宋" w:eastAsia="仿宋" w:cs="仿宋_GB2312"/>
                <w:b/>
                <w:bCs/>
                <w:color w:val="auto"/>
                <w:sz w:val="21"/>
                <w:szCs w:val="21"/>
                <w:highlight w:val="none"/>
                <w:lang w:eastAsia="zh-CN"/>
              </w:rPr>
            </w:pPr>
            <w:r>
              <w:rPr>
                <w:rFonts w:hint="eastAsia" w:ascii="仿宋" w:hAnsi="仿宋" w:eastAsia="仿宋" w:cs="仿宋_GB2312"/>
                <w:b/>
                <w:bCs/>
                <w:color w:val="auto"/>
                <w:sz w:val="21"/>
                <w:szCs w:val="21"/>
                <w:highlight w:val="none"/>
                <w:lang w:eastAsia="zh-CN"/>
              </w:rPr>
              <w:t>供应商</w:t>
            </w:r>
          </w:p>
          <w:p>
            <w:pPr>
              <w:pStyle w:val="2"/>
              <w:ind w:firstLine="0" w:firstLineChars="0"/>
              <w:jc w:val="center"/>
              <w:rPr>
                <w:rFonts w:hint="eastAsia" w:ascii="仿宋" w:hAnsi="仿宋" w:eastAsia="仿宋" w:cs="仿宋_GB2312"/>
                <w:b/>
                <w:bCs/>
                <w:color w:val="auto"/>
                <w:sz w:val="21"/>
                <w:szCs w:val="21"/>
                <w:highlight w:val="none"/>
                <w:lang w:eastAsia="zh-CN"/>
              </w:rPr>
            </w:pPr>
            <w:r>
              <w:rPr>
                <w:rFonts w:hint="eastAsia" w:ascii="仿宋" w:hAnsi="仿宋" w:eastAsia="仿宋" w:cs="仿宋_GB2312"/>
                <w:b/>
                <w:bCs/>
                <w:color w:val="auto"/>
                <w:sz w:val="21"/>
                <w:szCs w:val="21"/>
                <w:highlight w:val="none"/>
                <w:lang w:eastAsia="zh-CN"/>
              </w:rPr>
              <w:t>业绩</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10</w:t>
            </w:r>
            <w:r>
              <w:rPr>
                <w:rFonts w:hint="eastAsia" w:ascii="仿宋" w:hAnsi="仿宋" w:eastAsia="仿宋"/>
                <w:b/>
                <w:bCs/>
                <w:color w:val="auto"/>
                <w:sz w:val="21"/>
                <w:szCs w:val="21"/>
                <w:highlight w:val="none"/>
              </w:rPr>
              <w:t>分）</w:t>
            </w:r>
          </w:p>
        </w:tc>
        <w:tc>
          <w:tcPr>
            <w:tcW w:w="5106" w:type="dxa"/>
            <w:vAlign w:val="center"/>
          </w:tcPr>
          <w:p>
            <w:pPr>
              <w:rPr>
                <w:rFonts w:hint="eastAsia" w:ascii="仿宋" w:hAnsi="仿宋" w:eastAsia="仿宋_GB2312"/>
                <w:color w:val="auto"/>
                <w:sz w:val="21"/>
                <w:szCs w:val="21"/>
                <w:highlight w:val="none"/>
                <w:lang w:eastAsia="zh-CN"/>
              </w:rPr>
            </w:pPr>
            <w:r>
              <w:rPr>
                <w:rFonts w:hint="eastAsia" w:ascii="仿宋" w:hAnsi="仿宋" w:eastAsia="仿宋_GB2312"/>
                <w:color w:val="auto"/>
                <w:sz w:val="21"/>
                <w:szCs w:val="21"/>
                <w:highlight w:val="none"/>
                <w:lang w:eastAsia="zh-CN"/>
              </w:rPr>
              <w:t>综合考虑投标方202</w:t>
            </w:r>
            <w:r>
              <w:rPr>
                <w:rFonts w:hint="eastAsia" w:ascii="仿宋" w:hAnsi="仿宋" w:eastAsia="仿宋_GB2312"/>
                <w:color w:val="auto"/>
                <w:sz w:val="21"/>
                <w:szCs w:val="21"/>
                <w:highlight w:val="none"/>
                <w:lang w:val="en-US" w:eastAsia="zh-CN"/>
              </w:rPr>
              <w:t>1</w:t>
            </w:r>
            <w:r>
              <w:rPr>
                <w:rFonts w:hint="eastAsia" w:ascii="仿宋" w:hAnsi="仿宋" w:eastAsia="仿宋_GB2312"/>
                <w:color w:val="auto"/>
                <w:sz w:val="21"/>
                <w:szCs w:val="21"/>
                <w:highlight w:val="none"/>
                <w:lang w:eastAsia="zh-CN"/>
              </w:rPr>
              <w:t>年1月至今承担项目情况。</w:t>
            </w:r>
          </w:p>
          <w:p>
            <w:pPr>
              <w:rPr>
                <w:rFonts w:hint="eastAsia" w:ascii="仿宋" w:hAnsi="仿宋" w:eastAsia="仿宋_GB2312"/>
                <w:color w:val="auto"/>
                <w:sz w:val="21"/>
                <w:szCs w:val="21"/>
                <w:highlight w:val="none"/>
                <w:lang w:eastAsia="zh-CN"/>
              </w:rPr>
            </w:pPr>
            <w:r>
              <w:rPr>
                <w:rFonts w:hint="eastAsia" w:ascii="仿宋" w:hAnsi="仿宋" w:eastAsia="仿宋_GB2312"/>
                <w:color w:val="auto"/>
                <w:sz w:val="21"/>
                <w:szCs w:val="21"/>
                <w:highlight w:val="none"/>
                <w:lang w:eastAsia="zh-CN"/>
              </w:rPr>
              <w:t>投标方承担过省（市）级及以上与本项目类似采购需求项目，得</w:t>
            </w:r>
            <w:r>
              <w:rPr>
                <w:rFonts w:hint="eastAsia" w:ascii="仿宋" w:hAnsi="仿宋" w:eastAsia="仿宋_GB2312"/>
                <w:color w:val="auto"/>
                <w:sz w:val="21"/>
                <w:szCs w:val="21"/>
                <w:highlight w:val="none"/>
                <w:lang w:val="en-US" w:eastAsia="zh-CN"/>
              </w:rPr>
              <w:t>10</w:t>
            </w:r>
            <w:r>
              <w:rPr>
                <w:rFonts w:hint="eastAsia" w:ascii="仿宋" w:hAnsi="仿宋" w:eastAsia="仿宋_GB2312"/>
                <w:color w:val="auto"/>
                <w:sz w:val="21"/>
                <w:szCs w:val="21"/>
                <w:highlight w:val="none"/>
                <w:lang w:eastAsia="zh-CN"/>
              </w:rPr>
              <w:t>分；</w:t>
            </w:r>
          </w:p>
          <w:p>
            <w:pPr>
              <w:rPr>
                <w:rFonts w:hint="eastAsia" w:ascii="仿宋" w:hAnsi="仿宋" w:eastAsia="仿宋_GB2312"/>
                <w:color w:val="auto"/>
                <w:sz w:val="21"/>
                <w:szCs w:val="21"/>
                <w:highlight w:val="none"/>
                <w:lang w:eastAsia="zh-CN"/>
              </w:rPr>
            </w:pPr>
            <w:r>
              <w:rPr>
                <w:rFonts w:hint="eastAsia" w:ascii="仿宋" w:hAnsi="仿宋" w:eastAsia="仿宋_GB2312"/>
                <w:color w:val="auto"/>
                <w:sz w:val="21"/>
                <w:szCs w:val="21"/>
                <w:highlight w:val="none"/>
                <w:lang w:eastAsia="zh-CN"/>
              </w:rPr>
              <w:t>投标方承担过区级与本项目类似采购需求项目，得</w:t>
            </w:r>
            <w:r>
              <w:rPr>
                <w:rFonts w:hint="eastAsia" w:ascii="仿宋" w:hAnsi="仿宋" w:eastAsia="仿宋_GB2312"/>
                <w:color w:val="auto"/>
                <w:sz w:val="21"/>
                <w:szCs w:val="21"/>
                <w:highlight w:val="none"/>
                <w:lang w:val="en-US" w:eastAsia="zh-CN"/>
              </w:rPr>
              <w:t>5</w:t>
            </w:r>
            <w:r>
              <w:rPr>
                <w:rFonts w:hint="eastAsia" w:ascii="仿宋" w:hAnsi="仿宋" w:eastAsia="仿宋_GB2312"/>
                <w:color w:val="auto"/>
                <w:sz w:val="21"/>
                <w:szCs w:val="21"/>
                <w:highlight w:val="none"/>
                <w:lang w:eastAsia="zh-CN"/>
              </w:rPr>
              <w:t>分；</w:t>
            </w:r>
          </w:p>
          <w:p>
            <w:pPr>
              <w:rPr>
                <w:rFonts w:hint="eastAsia" w:ascii="仿宋" w:hAnsi="仿宋" w:eastAsia="仿宋_GB2312"/>
                <w:color w:val="auto"/>
                <w:sz w:val="21"/>
                <w:szCs w:val="21"/>
                <w:highlight w:val="none"/>
                <w:lang w:eastAsia="zh-CN"/>
              </w:rPr>
            </w:pPr>
            <w:r>
              <w:rPr>
                <w:rFonts w:hint="eastAsia" w:ascii="仿宋" w:hAnsi="仿宋" w:eastAsia="仿宋_GB2312"/>
                <w:color w:val="auto"/>
                <w:sz w:val="21"/>
                <w:szCs w:val="21"/>
                <w:highlight w:val="none"/>
                <w:lang w:eastAsia="zh-CN"/>
              </w:rPr>
              <w:t>投标方未承担过与本项目类似采购需求项目，得0分；</w:t>
            </w:r>
          </w:p>
          <w:p>
            <w:pPr>
              <w:rPr>
                <w:rFonts w:hint="eastAsia" w:ascii="仿宋" w:hAnsi="仿宋" w:eastAsia="仿宋_GB2312"/>
                <w:color w:val="auto"/>
                <w:sz w:val="21"/>
                <w:szCs w:val="21"/>
                <w:highlight w:val="none"/>
                <w:lang w:eastAsia="zh-CN"/>
              </w:rPr>
            </w:pPr>
            <w:r>
              <w:rPr>
                <w:rFonts w:hint="eastAsia" w:ascii="仿宋" w:hAnsi="仿宋" w:eastAsia="仿宋_GB2312"/>
                <w:color w:val="auto"/>
                <w:sz w:val="21"/>
                <w:szCs w:val="21"/>
                <w:highlight w:val="none"/>
                <w:lang w:eastAsia="zh-CN"/>
              </w:rPr>
              <w:t>（须附项目任务书：项目名称、项目内容、签字盖章页或支撑文件或项目报告，并加盖公章）。</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2" w:type="dxa"/>
            <w:vMerge w:val="continue"/>
            <w:tcBorders/>
          </w:tcPr>
          <w:p>
            <w:pPr>
              <w:pStyle w:val="2"/>
              <w:ind w:firstLine="0" w:firstLineChars="0"/>
              <w:rPr>
                <w:rFonts w:ascii="仿宋" w:hAnsi="仿宋" w:eastAsia="仿宋"/>
                <w:b/>
                <w:bCs/>
                <w:color w:val="auto"/>
                <w:sz w:val="21"/>
                <w:szCs w:val="21"/>
                <w:highlight w:val="none"/>
              </w:rPr>
            </w:pPr>
          </w:p>
        </w:tc>
        <w:tc>
          <w:tcPr>
            <w:tcW w:w="1191" w:type="dxa"/>
            <w:vAlign w:val="center"/>
          </w:tcPr>
          <w:p>
            <w:pPr>
              <w:pStyle w:val="2"/>
              <w:ind w:firstLine="0" w:firstLineChars="0"/>
              <w:jc w:val="center"/>
              <w:rPr>
                <w:rFonts w:hint="eastAsia" w:ascii="仿宋" w:hAnsi="仿宋" w:eastAsia="仿宋"/>
                <w:b/>
                <w:bCs/>
                <w:color w:val="auto"/>
                <w:sz w:val="21"/>
                <w:szCs w:val="21"/>
                <w:highlight w:val="none"/>
              </w:rPr>
            </w:pPr>
            <w:r>
              <w:rPr>
                <w:rFonts w:hint="eastAsia" w:ascii="仿宋" w:hAnsi="仿宋" w:eastAsia="仿宋"/>
                <w:b/>
                <w:bCs/>
                <w:color w:val="auto"/>
                <w:sz w:val="21"/>
                <w:szCs w:val="21"/>
                <w:highlight w:val="none"/>
              </w:rPr>
              <w:t>供应商</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资质</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ascii="仿宋" w:hAnsi="仿宋" w:eastAsia="仿宋"/>
                <w:b/>
                <w:bCs/>
                <w:color w:val="auto"/>
                <w:sz w:val="21"/>
                <w:szCs w:val="21"/>
                <w:highlight w:val="none"/>
              </w:rPr>
              <w:t>5</w:t>
            </w:r>
            <w:r>
              <w:rPr>
                <w:rFonts w:hint="eastAsia" w:ascii="仿宋" w:hAnsi="仿宋" w:eastAsia="仿宋"/>
                <w:b/>
                <w:bCs/>
                <w:color w:val="auto"/>
                <w:sz w:val="21"/>
                <w:szCs w:val="21"/>
                <w:highlight w:val="none"/>
              </w:rPr>
              <w:t>分）</w:t>
            </w:r>
          </w:p>
        </w:tc>
        <w:tc>
          <w:tcPr>
            <w:tcW w:w="5106" w:type="dxa"/>
            <w:vAlign w:val="center"/>
          </w:tcPr>
          <w:p>
            <w:pPr>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综合考虑投标方技术状况、履约能力等(包括组织机构、内部管理制度、信息化平台运用经验等)。</w:t>
            </w:r>
          </w:p>
          <w:p>
            <w:pPr>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（1）投标方提供内容管理制度得1分；投标方提供公司组织结构得1分，不提供不得分；</w:t>
            </w:r>
          </w:p>
          <w:p>
            <w:pPr>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2）建设并使用医疗信息化平台8年以上并通过三级等保测试得3分；建设并使用医疗信息化平台5-8年（不含8年）并通过二级等保测试得2分；建设并使用医疗信息化平台2-5年（不含5年）得1分；建设并使用医疗信息化平台2年以下（不含2年）或不具备医疗信息化平台得0分。（投标人须提供相关证明材料并加盖投标人公章）</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Borders/>
          </w:tcPr>
          <w:p>
            <w:pPr>
              <w:pStyle w:val="2"/>
              <w:ind w:left="1" w:hanging="1" w:firstLineChars="0"/>
              <w:rPr>
                <w:rFonts w:hint="eastAsia" w:ascii="仿宋" w:hAnsi="仿宋" w:eastAsia="仿宋"/>
                <w:b/>
                <w:bCs/>
                <w:color w:val="auto"/>
                <w:sz w:val="21"/>
                <w:szCs w:val="21"/>
                <w:highlight w:val="none"/>
              </w:rPr>
            </w:pPr>
          </w:p>
        </w:tc>
        <w:tc>
          <w:tcPr>
            <w:tcW w:w="1191" w:type="dxa"/>
            <w:vAlign w:val="center"/>
          </w:tcPr>
          <w:p>
            <w:pPr>
              <w:pStyle w:val="2"/>
              <w:ind w:firstLine="0" w:firstLineChars="0"/>
              <w:jc w:val="center"/>
              <w:rPr>
                <w:rFonts w:hint="eastAsia" w:ascii="仿宋" w:hAnsi="仿宋" w:eastAsia="仿宋"/>
                <w:b/>
                <w:bCs/>
                <w:color w:val="auto"/>
                <w:sz w:val="21"/>
                <w:szCs w:val="21"/>
                <w:highlight w:val="none"/>
              </w:rPr>
            </w:pPr>
            <w:r>
              <w:rPr>
                <w:rFonts w:hint="eastAsia" w:ascii="仿宋" w:hAnsi="仿宋" w:eastAsia="仿宋"/>
                <w:b/>
                <w:bCs/>
                <w:color w:val="auto"/>
                <w:sz w:val="21"/>
                <w:szCs w:val="21"/>
                <w:highlight w:val="none"/>
              </w:rPr>
              <w:t>成果转化能力</w:t>
            </w:r>
          </w:p>
          <w:p>
            <w:pPr>
              <w:pStyle w:val="2"/>
              <w:ind w:firstLine="0" w:firstLineChars="0"/>
              <w:jc w:val="center"/>
              <w:rPr>
                <w:rFonts w:hint="eastAsia" w:ascii="仿宋" w:hAnsi="仿宋" w:eastAsia="宋体"/>
                <w:b/>
                <w:bCs/>
                <w:color w:val="auto"/>
                <w:sz w:val="21"/>
                <w:szCs w:val="21"/>
                <w:highlight w:val="none"/>
                <w:lang w:eastAsia="zh-CN"/>
              </w:rPr>
            </w:pPr>
            <w:r>
              <w:rPr>
                <w:rFonts w:hint="eastAsia" w:ascii="仿宋" w:hAnsi="仿宋" w:eastAsia="仿宋"/>
                <w:b/>
                <w:bCs/>
                <w:color w:val="auto"/>
                <w:sz w:val="21"/>
                <w:szCs w:val="21"/>
                <w:highlight w:val="none"/>
                <w:lang w:eastAsia="zh-CN"/>
              </w:rPr>
              <w:t>（</w:t>
            </w:r>
            <w:r>
              <w:rPr>
                <w:rFonts w:hint="eastAsia" w:ascii="仿宋" w:hAnsi="仿宋" w:eastAsia="仿宋"/>
                <w:b/>
                <w:bCs/>
                <w:color w:val="auto"/>
                <w:sz w:val="21"/>
                <w:szCs w:val="21"/>
                <w:highlight w:val="none"/>
                <w:lang w:val="en-US" w:eastAsia="zh-CN"/>
              </w:rPr>
              <w:t>5分</w:t>
            </w:r>
            <w:r>
              <w:rPr>
                <w:rFonts w:hint="eastAsia" w:ascii="仿宋" w:hAnsi="仿宋" w:eastAsia="仿宋"/>
                <w:b/>
                <w:bCs/>
                <w:color w:val="auto"/>
                <w:sz w:val="21"/>
                <w:szCs w:val="21"/>
                <w:highlight w:val="none"/>
                <w:lang w:eastAsia="zh-CN"/>
              </w:rPr>
              <w:t>）</w:t>
            </w:r>
          </w:p>
        </w:tc>
        <w:tc>
          <w:tcPr>
            <w:tcW w:w="5106" w:type="dxa"/>
            <w:vAlign w:val="center"/>
          </w:tcPr>
          <w:p>
            <w:pPr>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投标方在科技成果转化方面的能力。</w:t>
            </w:r>
          </w:p>
          <w:p>
            <w:pPr>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投标方具有疾病诊疗相关成果转化成功案例，得5分，最高得5分；</w:t>
            </w:r>
          </w:p>
          <w:p>
            <w:pPr>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投标方不具有疾病诊疗相关成果转化能力和经验，得0分。</w:t>
            </w:r>
          </w:p>
          <w:p>
            <w:pPr>
              <w:rPr>
                <w:rFonts w:hint="eastAsia" w:ascii="仿宋" w:hAnsi="仿宋" w:eastAsia="仿宋" w:cs="仿宋_GB2312"/>
                <w:color w:val="auto"/>
                <w:szCs w:val="21"/>
                <w:highlight w:val="none"/>
              </w:rPr>
            </w:pPr>
            <w:r>
              <w:rPr>
                <w:rFonts w:hint="eastAsia" w:ascii="仿宋" w:hAnsi="仿宋" w:eastAsia="仿宋" w:cs="仿宋_GB2312"/>
                <w:color w:val="auto"/>
                <w:kern w:val="0"/>
                <w:szCs w:val="21"/>
                <w:highlight w:val="none"/>
              </w:rPr>
              <w:t>提供成果转化相关材料作为证明文件。</w:t>
            </w:r>
          </w:p>
        </w:tc>
        <w:tc>
          <w:tcPr>
            <w:tcW w:w="851" w:type="dxa"/>
          </w:tcPr>
          <w:p>
            <w:pPr>
              <w:pStyle w:val="2"/>
              <w:ind w:firstLine="0" w:firstLineChars="0"/>
              <w:jc w:val="center"/>
              <w:rPr>
                <w:rFonts w:ascii="仿宋" w:hAnsi="仿宋" w:eastAsia="仿宋"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restart"/>
          </w:tcPr>
          <w:p>
            <w:pPr>
              <w:pStyle w:val="2"/>
              <w:ind w:firstLine="422"/>
              <w:rPr>
                <w:rFonts w:ascii="仿宋" w:hAnsi="仿宋" w:eastAsia="仿宋"/>
                <w:b/>
                <w:bCs/>
                <w:color w:val="auto"/>
                <w:sz w:val="21"/>
                <w:szCs w:val="21"/>
                <w:highlight w:val="none"/>
              </w:rPr>
            </w:pPr>
          </w:p>
          <w:p>
            <w:pPr>
              <w:pStyle w:val="2"/>
              <w:ind w:firstLine="422"/>
              <w:rPr>
                <w:rFonts w:ascii="仿宋" w:hAnsi="仿宋" w:eastAsia="仿宋"/>
                <w:b/>
                <w:bCs/>
                <w:color w:val="auto"/>
                <w:sz w:val="21"/>
                <w:szCs w:val="21"/>
                <w:highlight w:val="none"/>
              </w:rPr>
            </w:pPr>
          </w:p>
          <w:p>
            <w:pPr>
              <w:pStyle w:val="2"/>
              <w:ind w:left="1" w:hanging="1"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业务计划（</w:t>
            </w:r>
            <w:r>
              <w:rPr>
                <w:rFonts w:hint="eastAsia" w:ascii="仿宋" w:hAnsi="仿宋" w:eastAsia="仿宋"/>
                <w:b/>
                <w:bCs/>
                <w:color w:val="auto"/>
                <w:sz w:val="21"/>
                <w:szCs w:val="21"/>
                <w:highlight w:val="none"/>
                <w:lang w:val="en-US" w:eastAsia="zh-CN"/>
              </w:rPr>
              <w:t>7</w:t>
            </w:r>
            <w:r>
              <w:rPr>
                <w:rFonts w:ascii="仿宋" w:hAnsi="仿宋" w:eastAsia="仿宋"/>
                <w:b/>
                <w:bCs/>
                <w:color w:val="auto"/>
                <w:sz w:val="21"/>
                <w:szCs w:val="21"/>
                <w:highlight w:val="none"/>
              </w:rPr>
              <w:t>0</w:t>
            </w:r>
            <w:r>
              <w:rPr>
                <w:rFonts w:hint="eastAsia" w:ascii="仿宋" w:hAnsi="仿宋" w:eastAsia="仿宋"/>
                <w:b/>
                <w:bCs/>
                <w:color w:val="auto"/>
                <w:sz w:val="21"/>
                <w:szCs w:val="21"/>
                <w:highlight w:val="none"/>
              </w:rPr>
              <w:t>分）</w:t>
            </w:r>
          </w:p>
        </w:tc>
        <w:tc>
          <w:tcPr>
            <w:tcW w:w="1191" w:type="dxa"/>
            <w:vAlign w:val="center"/>
          </w:tcPr>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项目理解与分析</w:t>
            </w:r>
          </w:p>
          <w:p>
            <w:pPr>
              <w:pStyle w:val="2"/>
              <w:ind w:firstLine="0" w:firstLineChars="0"/>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10</w:t>
            </w:r>
            <w:r>
              <w:rPr>
                <w:rFonts w:hint="eastAsia" w:ascii="仿宋" w:hAnsi="仿宋" w:eastAsia="仿宋"/>
                <w:b/>
                <w:bCs/>
                <w:color w:val="auto"/>
                <w:sz w:val="21"/>
                <w:szCs w:val="21"/>
                <w:highlight w:val="none"/>
              </w:rPr>
              <w:t>分）</w:t>
            </w:r>
          </w:p>
        </w:tc>
        <w:tc>
          <w:tcPr>
            <w:tcW w:w="5106" w:type="dxa"/>
            <w:vAlign w:val="center"/>
          </w:tcPr>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投标方对本项目的理解及实施重点、难点的分析。</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项目理解及分析清楚、透彻且满足实际采购需求，得10分；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项目理解及分析较透彻，贴合实际采购需求，得6分；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项目理解及分析基本透彻，基本贴合实际采购需求，得3分；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未提供相关内容得0分。</w:t>
            </w:r>
          </w:p>
        </w:tc>
        <w:tc>
          <w:tcPr>
            <w:tcW w:w="851" w:type="dxa"/>
          </w:tcPr>
          <w:p>
            <w:pPr>
              <w:pStyle w:val="2"/>
              <w:ind w:firstLine="0" w:firstLineChars="0"/>
              <w:jc w:val="center"/>
              <w:rPr>
                <w:rFonts w:ascii="仿宋" w:hAnsi="仿宋" w:eastAsia="仿宋"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Pr>
          <w:p>
            <w:pPr>
              <w:pStyle w:val="2"/>
              <w:ind w:firstLine="422"/>
              <w:rPr>
                <w:rFonts w:ascii="仿宋" w:hAnsi="仿宋" w:eastAsia="仿宋"/>
                <w:b/>
                <w:bCs/>
                <w:color w:val="auto"/>
                <w:sz w:val="21"/>
                <w:szCs w:val="21"/>
                <w:highlight w:val="none"/>
              </w:rPr>
            </w:pPr>
          </w:p>
        </w:tc>
        <w:tc>
          <w:tcPr>
            <w:tcW w:w="1191" w:type="dxa"/>
            <w:vAlign w:val="center"/>
          </w:tcPr>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服务方案</w:t>
            </w:r>
          </w:p>
          <w:p>
            <w:pPr>
              <w:pStyle w:val="2"/>
              <w:ind w:firstLine="0" w:firstLineChars="0"/>
              <w:jc w:val="center"/>
              <w:rPr>
                <w:rFonts w:ascii="仿宋" w:hAnsi="仿宋" w:eastAsia="仿宋"/>
                <w:b/>
                <w:bCs/>
                <w:color w:val="auto"/>
                <w:sz w:val="21"/>
                <w:szCs w:val="21"/>
                <w:highlight w:val="none"/>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3</w:t>
            </w:r>
            <w:r>
              <w:rPr>
                <w:rFonts w:hint="eastAsia" w:ascii="仿宋" w:hAnsi="仿宋" w:eastAsia="仿宋"/>
                <w:b/>
                <w:bCs/>
                <w:color w:val="auto"/>
                <w:sz w:val="21"/>
                <w:szCs w:val="21"/>
                <w:highlight w:val="none"/>
              </w:rPr>
              <w:t>0分）</w:t>
            </w:r>
          </w:p>
        </w:tc>
        <w:tc>
          <w:tcPr>
            <w:tcW w:w="5106" w:type="dxa"/>
            <w:vAlign w:val="center"/>
          </w:tcPr>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针对服务采购需求提供服务方案，包括：</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lang w:eastAsia="zh-CN"/>
              </w:rPr>
              <w:t>组织</w:t>
            </w:r>
            <w:r>
              <w:rPr>
                <w:rFonts w:hint="eastAsia" w:ascii="仿宋" w:hAnsi="仿宋" w:eastAsia="仿宋" w:cs="仿宋_GB2312"/>
                <w:color w:val="auto"/>
                <w:szCs w:val="21"/>
                <w:highlight w:val="none"/>
              </w:rPr>
              <w:t>实施北京市各区老人能力筛查及健康评估；为失能老年人开展健康服务；组织培训；开展失能相关因素调查；失能失智预防干预宣教。</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以上每项最高得6分，满分共30分。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以上每项内容阐述详细且满足实际采购需求，得6分；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以上每项内容阐述较详细基本满足实际采购需求，得3分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以上每项内容虽有阐述，但未完全贴合实际需求，或内容欠具体，得1分；</w:t>
            </w:r>
          </w:p>
          <w:p>
            <w:pPr>
              <w:rPr>
                <w:rFonts w:ascii="仿宋" w:hAnsi="仿宋" w:eastAsia="仿宋" w:cs="仿宋_GB2312"/>
                <w:color w:val="auto"/>
                <w:szCs w:val="21"/>
                <w:highlight w:val="none"/>
              </w:rPr>
            </w:pPr>
            <w:r>
              <w:rPr>
                <w:rFonts w:hint="eastAsia" w:ascii="仿宋" w:hAnsi="仿宋" w:eastAsia="仿宋" w:cs="仿宋_GB2312"/>
                <w:color w:val="auto"/>
                <w:szCs w:val="21"/>
                <w:highlight w:val="none"/>
              </w:rPr>
              <w:t>未提供相关内容得0分</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1182" w:type="dxa"/>
            <w:vMerge w:val="continue"/>
          </w:tcPr>
          <w:p>
            <w:pPr>
              <w:pStyle w:val="2"/>
              <w:ind w:firstLine="0" w:firstLineChars="0"/>
              <w:rPr>
                <w:rFonts w:ascii="仿宋" w:hAnsi="仿宋" w:eastAsia="仿宋"/>
                <w:b/>
                <w:bCs/>
                <w:color w:val="auto"/>
                <w:sz w:val="21"/>
                <w:szCs w:val="21"/>
                <w:highlight w:val="none"/>
              </w:rPr>
            </w:pPr>
            <w:bookmarkStart w:id="0" w:name="_GoBack"/>
            <w:bookmarkEnd w:id="0"/>
          </w:p>
        </w:tc>
        <w:tc>
          <w:tcPr>
            <w:tcW w:w="1191" w:type="dxa"/>
            <w:vAlign w:val="center"/>
          </w:tcPr>
          <w:p>
            <w:pPr>
              <w:pStyle w:val="2"/>
              <w:ind w:firstLine="0" w:firstLineChars="0"/>
              <w:jc w:val="center"/>
              <w:rPr>
                <w:rFonts w:ascii="仿宋" w:hAnsi="仿宋" w:eastAsia="仿宋"/>
                <w:b/>
                <w:bCs/>
                <w:color w:val="auto"/>
                <w:sz w:val="21"/>
                <w:szCs w:val="21"/>
                <w:highlight w:val="none"/>
              </w:rPr>
            </w:pPr>
          </w:p>
          <w:p>
            <w:pPr>
              <w:pStyle w:val="2"/>
              <w:ind w:left="0" w:leftChars="0" w:firstLine="0" w:firstLineChars="0"/>
              <w:jc w:val="center"/>
              <w:rPr>
                <w:rFonts w:hint="eastAsia" w:ascii="仿宋" w:hAnsi="仿宋" w:eastAsia="仿宋" w:cs="Times New Roman"/>
                <w:b/>
                <w:bCs/>
                <w:color w:val="auto"/>
                <w:kern w:val="2"/>
                <w:sz w:val="21"/>
                <w:szCs w:val="21"/>
                <w:highlight w:val="none"/>
                <w:lang w:val="en-US" w:eastAsia="zh-CN" w:bidi="ar-SA"/>
              </w:rPr>
            </w:pPr>
            <w:r>
              <w:rPr>
                <w:rFonts w:hint="eastAsia" w:ascii="仿宋" w:hAnsi="仿宋" w:eastAsia="仿宋"/>
                <w:b/>
                <w:bCs/>
                <w:color w:val="auto"/>
                <w:sz w:val="21"/>
                <w:szCs w:val="21"/>
                <w:highlight w:val="none"/>
              </w:rPr>
              <w:t>人员配备（</w:t>
            </w:r>
            <w:r>
              <w:rPr>
                <w:rFonts w:hint="eastAsia" w:ascii="仿宋" w:hAnsi="仿宋" w:eastAsia="仿宋"/>
                <w:b/>
                <w:bCs/>
                <w:color w:val="auto"/>
                <w:sz w:val="21"/>
                <w:szCs w:val="21"/>
                <w:highlight w:val="none"/>
                <w:lang w:val="en-US" w:eastAsia="zh-CN"/>
              </w:rPr>
              <w:t>2</w:t>
            </w:r>
            <w:r>
              <w:rPr>
                <w:rFonts w:hint="eastAsia" w:ascii="仿宋" w:hAnsi="仿宋" w:eastAsia="仿宋"/>
                <w:b/>
                <w:bCs/>
                <w:color w:val="auto"/>
                <w:sz w:val="21"/>
                <w:szCs w:val="21"/>
                <w:highlight w:val="none"/>
              </w:rPr>
              <w:t>0分）</w:t>
            </w:r>
          </w:p>
        </w:tc>
        <w:tc>
          <w:tcPr>
            <w:tcW w:w="5106" w:type="dxa"/>
            <w:vAlign w:val="center"/>
          </w:tcPr>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人员配置优化合理，满足项目需求。团队成员中</w:t>
            </w:r>
          </w:p>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①投标单位服务团队≥50人，且团队人员需与投标单位存在劳动关系；</w:t>
            </w:r>
          </w:p>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②团队人员中≥50%的人员应具备医学、护理学全日制学历和医疗卫生专业技术职称；</w:t>
            </w:r>
          </w:p>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③团队人员≥10名副高级及以上职称的专家；</w:t>
            </w:r>
          </w:p>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④项目负责人具备≥10年医疗卫生管理经验。</w:t>
            </w:r>
          </w:p>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以上每项占5分，满足得5分，不满足得0分。</w:t>
            </w:r>
          </w:p>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（供应商须提供本项目的团队成员基本情况表、相关职称证明文件及劳动关系、管理经验证明文件，项目负责人工作年限证明文件，不提供视为不满足）</w:t>
            </w:r>
          </w:p>
        </w:tc>
        <w:tc>
          <w:tcPr>
            <w:tcW w:w="851" w:type="dxa"/>
          </w:tcPr>
          <w:p>
            <w:pPr>
              <w:jc w:val="center"/>
              <w:rPr>
                <w:rFonts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Pr>
          <w:p>
            <w:pPr>
              <w:pStyle w:val="2"/>
              <w:ind w:firstLine="0" w:firstLineChars="0"/>
              <w:rPr>
                <w:rFonts w:ascii="仿宋" w:hAnsi="仿宋" w:eastAsia="仿宋"/>
                <w:b/>
                <w:bCs/>
                <w:color w:val="auto"/>
                <w:sz w:val="21"/>
                <w:szCs w:val="21"/>
                <w:highlight w:val="none"/>
              </w:rPr>
            </w:pPr>
          </w:p>
        </w:tc>
        <w:tc>
          <w:tcPr>
            <w:tcW w:w="1191" w:type="dxa"/>
            <w:vAlign w:val="center"/>
          </w:tcPr>
          <w:p>
            <w:pPr>
              <w:pStyle w:val="2"/>
              <w:ind w:firstLine="0" w:firstLineChars="0"/>
              <w:jc w:val="center"/>
              <w:rPr>
                <w:rFonts w:hint="eastAsia" w:ascii="仿宋" w:hAnsi="仿宋" w:eastAsia="仿宋"/>
                <w:b/>
                <w:bCs/>
                <w:color w:val="auto"/>
                <w:sz w:val="21"/>
                <w:szCs w:val="21"/>
                <w:highlight w:val="none"/>
                <w:lang w:eastAsia="zh-CN"/>
              </w:rPr>
            </w:pPr>
            <w:r>
              <w:rPr>
                <w:rFonts w:hint="eastAsia" w:ascii="仿宋" w:hAnsi="仿宋" w:eastAsia="仿宋"/>
                <w:b/>
                <w:bCs/>
                <w:color w:val="auto"/>
                <w:sz w:val="21"/>
                <w:szCs w:val="21"/>
                <w:highlight w:val="none"/>
                <w:lang w:eastAsia="zh-CN"/>
              </w:rPr>
              <w:t>质量控制方案</w:t>
            </w:r>
          </w:p>
          <w:p>
            <w:pPr>
              <w:pStyle w:val="2"/>
              <w:ind w:firstLine="0" w:firstLineChars="0"/>
              <w:jc w:val="center"/>
              <w:rPr>
                <w:rFonts w:ascii="仿宋" w:hAnsi="仿宋" w:eastAsia="仿宋" w:cs="Times New Roman"/>
                <w:b/>
                <w:bCs/>
                <w:color w:val="auto"/>
                <w:kern w:val="2"/>
                <w:sz w:val="21"/>
                <w:szCs w:val="21"/>
                <w:highlight w:val="none"/>
                <w:lang w:val="en-US" w:eastAsia="zh-CN" w:bidi="ar-SA"/>
              </w:rPr>
            </w:pPr>
            <w:r>
              <w:rPr>
                <w:rFonts w:hint="eastAsia" w:ascii="仿宋" w:hAnsi="仿宋" w:eastAsia="仿宋"/>
                <w:b/>
                <w:bCs/>
                <w:color w:val="auto"/>
                <w:sz w:val="21"/>
                <w:szCs w:val="21"/>
                <w:highlight w:val="none"/>
              </w:rPr>
              <w:t>（</w:t>
            </w:r>
            <w:r>
              <w:rPr>
                <w:rFonts w:hint="eastAsia" w:ascii="仿宋" w:hAnsi="仿宋" w:eastAsia="仿宋"/>
                <w:b/>
                <w:bCs/>
                <w:color w:val="auto"/>
                <w:sz w:val="21"/>
                <w:szCs w:val="21"/>
                <w:highlight w:val="none"/>
                <w:lang w:val="en-US" w:eastAsia="zh-CN"/>
              </w:rPr>
              <w:t>5</w:t>
            </w:r>
            <w:r>
              <w:rPr>
                <w:rFonts w:hint="eastAsia" w:ascii="仿宋" w:hAnsi="仿宋" w:eastAsia="仿宋"/>
                <w:b/>
                <w:bCs/>
                <w:color w:val="auto"/>
                <w:sz w:val="21"/>
                <w:szCs w:val="21"/>
                <w:highlight w:val="none"/>
              </w:rPr>
              <w:t>分）</w:t>
            </w:r>
          </w:p>
        </w:tc>
        <w:tc>
          <w:tcPr>
            <w:tcW w:w="5106" w:type="dxa"/>
            <w:vAlign w:val="center"/>
          </w:tcPr>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质量控制方案内容完整、合理，针对性强得5分；</w:t>
            </w:r>
          </w:p>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质量控制方案内容较完整、合理，针对性较强得3分；</w:t>
            </w:r>
          </w:p>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质量控制方案内容基本完整、合理，有一定的针对性得1分；</w:t>
            </w:r>
          </w:p>
          <w:p>
            <w:pPr>
              <w:pStyle w:val="2"/>
              <w:ind w:left="0" w:leftChars="0" w:firstLine="0" w:firstLineChars="0"/>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未提供相关内容得0分</w:t>
            </w:r>
          </w:p>
        </w:tc>
        <w:tc>
          <w:tcPr>
            <w:tcW w:w="851" w:type="dxa"/>
          </w:tcPr>
          <w:p>
            <w:pPr>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2" w:type="dxa"/>
            <w:vMerge w:val="continue"/>
          </w:tcPr>
          <w:p>
            <w:pPr>
              <w:pStyle w:val="2"/>
              <w:ind w:firstLine="0" w:firstLineChars="0"/>
              <w:rPr>
                <w:rFonts w:ascii="仿宋" w:hAnsi="仿宋" w:eastAsia="仿宋"/>
                <w:b/>
                <w:bCs/>
                <w:color w:val="auto"/>
                <w:sz w:val="21"/>
                <w:szCs w:val="21"/>
                <w:highlight w:val="none"/>
              </w:rPr>
            </w:pPr>
          </w:p>
        </w:tc>
        <w:tc>
          <w:tcPr>
            <w:tcW w:w="1191" w:type="dxa"/>
            <w:vAlign w:val="center"/>
          </w:tcPr>
          <w:p>
            <w:pPr>
              <w:jc w:val="center"/>
              <w:rPr>
                <w:rFonts w:ascii="仿宋" w:hAnsi="仿宋" w:eastAsia="仿宋"/>
                <w:b/>
                <w:bCs/>
                <w:color w:val="auto"/>
                <w:szCs w:val="21"/>
                <w:highlight w:val="none"/>
              </w:rPr>
            </w:pPr>
            <w:r>
              <w:rPr>
                <w:rFonts w:hint="eastAsia" w:ascii="仿宋" w:hAnsi="仿宋" w:eastAsia="仿宋"/>
                <w:b/>
                <w:bCs/>
                <w:color w:val="auto"/>
                <w:szCs w:val="21"/>
                <w:highlight w:val="none"/>
              </w:rPr>
              <w:t>服务进度保障措施（5分）</w:t>
            </w:r>
          </w:p>
          <w:p>
            <w:pPr>
              <w:pStyle w:val="2"/>
              <w:ind w:left="0" w:leftChars="0" w:firstLine="421" w:firstLineChars="200"/>
              <w:rPr>
                <w:rFonts w:ascii="仿宋" w:hAnsi="仿宋" w:eastAsia="仿宋" w:cs="Times New Roman"/>
                <w:b/>
                <w:bCs/>
                <w:color w:val="auto"/>
                <w:kern w:val="2"/>
                <w:sz w:val="21"/>
                <w:szCs w:val="21"/>
                <w:highlight w:val="none"/>
                <w:lang w:val="en-US" w:eastAsia="zh-CN" w:bidi="ar-SA"/>
              </w:rPr>
            </w:pPr>
          </w:p>
        </w:tc>
        <w:tc>
          <w:tcPr>
            <w:tcW w:w="5106" w:type="dxa"/>
            <w:vAlign w:val="center"/>
          </w:tcPr>
          <w:p>
            <w:pP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服务进度及保障方案阐述具体、合理，针对性强，完全满足实际采购需求，得5分；</w:t>
            </w:r>
          </w:p>
          <w:p>
            <w:pP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服务进度及保障方案阐述较具体、合理，针对性较强，能够满足实际采购需求，得3分；</w:t>
            </w:r>
          </w:p>
          <w:p>
            <w:pP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服务进度及保障方案阐述基本合理，有针对性，基本满足实际采购需求，得1分；</w:t>
            </w:r>
          </w:p>
          <w:p>
            <w:pPr>
              <w:rPr>
                <w:rFonts w:hint="eastAsia" w:ascii="仿宋" w:hAnsi="仿宋" w:eastAsia="仿宋" w:cs="Times New Roman"/>
                <w:color w:val="auto"/>
                <w:kern w:val="2"/>
                <w:sz w:val="21"/>
                <w:szCs w:val="21"/>
                <w:highlight w:val="none"/>
                <w:lang w:val="en-US" w:eastAsia="zh-CN" w:bidi="ar-SA"/>
              </w:rPr>
            </w:pPr>
            <w:r>
              <w:rPr>
                <w:rFonts w:hint="eastAsia" w:ascii="仿宋" w:hAnsi="仿宋" w:eastAsia="仿宋" w:cs="Times New Roman"/>
                <w:color w:val="auto"/>
                <w:kern w:val="2"/>
                <w:sz w:val="21"/>
                <w:szCs w:val="21"/>
                <w:highlight w:val="none"/>
                <w:lang w:val="en-US" w:eastAsia="zh-CN" w:bidi="ar-SA"/>
              </w:rPr>
              <w:t>未提供相关内容得0分。</w:t>
            </w:r>
          </w:p>
        </w:tc>
        <w:tc>
          <w:tcPr>
            <w:tcW w:w="851" w:type="dxa"/>
          </w:tcPr>
          <w:p>
            <w:pPr>
              <w:jc w:val="center"/>
              <w:rPr>
                <w:rFonts w:ascii="仿宋" w:hAnsi="仿宋" w:eastAsia="仿宋"/>
                <w:color w:val="auto"/>
                <w:szCs w:val="21"/>
                <w:highlight w:val="none"/>
              </w:rPr>
            </w:pPr>
          </w:p>
        </w:tc>
      </w:tr>
    </w:tbl>
    <w:p>
      <w:pPr>
        <w:rPr>
          <w:b/>
        </w:rPr>
      </w:pPr>
    </w:p>
    <w:p/>
    <w:p>
      <w:pPr>
        <w:rPr>
          <w:rFonts w:ascii="仿宋" w:hAnsi="仿宋" w:eastAsia="仿宋" w:cs="宋体"/>
          <w:szCs w:val="21"/>
        </w:rPr>
      </w:pPr>
    </w:p>
    <w:p/>
    <w:p>
      <w:pPr>
        <w:rPr>
          <w:rFonts w:ascii="仿宋" w:hAnsi="仿宋" w:eastAsia="仿宋" w:cs="宋体"/>
          <w:szCs w:val="2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9485C"/>
    <w:rsid w:val="000A22BF"/>
    <w:rsid w:val="00193EAA"/>
    <w:rsid w:val="002813AC"/>
    <w:rsid w:val="00296944"/>
    <w:rsid w:val="002D2684"/>
    <w:rsid w:val="003B2C36"/>
    <w:rsid w:val="003D1C53"/>
    <w:rsid w:val="003E70D5"/>
    <w:rsid w:val="004A4DDA"/>
    <w:rsid w:val="004D73E0"/>
    <w:rsid w:val="004F644E"/>
    <w:rsid w:val="00504DC9"/>
    <w:rsid w:val="00515BAC"/>
    <w:rsid w:val="006337E9"/>
    <w:rsid w:val="006975EE"/>
    <w:rsid w:val="006F7B9A"/>
    <w:rsid w:val="0072607C"/>
    <w:rsid w:val="007A7660"/>
    <w:rsid w:val="00883370"/>
    <w:rsid w:val="008A2C42"/>
    <w:rsid w:val="0099485C"/>
    <w:rsid w:val="00B33D64"/>
    <w:rsid w:val="00B927D3"/>
    <w:rsid w:val="00BA4C9E"/>
    <w:rsid w:val="00C93AE2"/>
    <w:rsid w:val="00CA49E3"/>
    <w:rsid w:val="00D875C2"/>
    <w:rsid w:val="00DB1122"/>
    <w:rsid w:val="00FF1677"/>
    <w:rsid w:val="3CFD4AB6"/>
    <w:rsid w:val="3DFB4AE3"/>
    <w:rsid w:val="3F957C77"/>
    <w:rsid w:val="4BEF5F9E"/>
    <w:rsid w:val="534A4F32"/>
    <w:rsid w:val="5FEF2523"/>
    <w:rsid w:val="7E79C52E"/>
    <w:rsid w:val="7EBF30EA"/>
    <w:rsid w:val="7EF0D426"/>
    <w:rsid w:val="D7FFFEB3"/>
    <w:rsid w:val="DFDE0295"/>
    <w:rsid w:val="EF777469"/>
    <w:rsid w:val="EFBE5619"/>
    <w:rsid w:val="EFEEB3D5"/>
    <w:rsid w:val="F1FB1D51"/>
    <w:rsid w:val="FBFFE69C"/>
    <w:rsid w:val="FDC78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adjustRightInd w:val="0"/>
      <w:jc w:val="center"/>
      <w:textAlignment w:val="baseline"/>
      <w:outlineLvl w:val="0"/>
    </w:pPr>
    <w:rPr>
      <w:rFonts w:ascii="宋体" w:hAnsi="宋体"/>
      <w:b/>
      <w:spacing w:val="4"/>
      <w:kern w:val="0"/>
      <w:sz w:val="4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sz w:val="28"/>
    </w:rPr>
  </w:style>
  <w:style w:type="paragraph" w:styleId="5">
    <w:name w:val="annotation text"/>
    <w:basedOn w:val="1"/>
    <w:link w:val="17"/>
    <w:unhideWhenUsed/>
    <w:qFormat/>
    <w:uiPriority w:val="99"/>
    <w:pPr>
      <w:jc w:val="left"/>
    </w:pPr>
  </w:style>
  <w:style w:type="paragraph" w:styleId="6">
    <w:name w:val="Balloon Text"/>
    <w:basedOn w:val="1"/>
    <w:link w:val="19"/>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unhideWhenUsed/>
    <w:qFormat/>
    <w:uiPriority w:val="99"/>
    <w:rPr>
      <w:b/>
      <w:bCs/>
    </w:rPr>
  </w:style>
  <w:style w:type="character" w:styleId="12">
    <w:name w:val="annotation reference"/>
    <w:basedOn w:val="11"/>
    <w:unhideWhenUsed/>
    <w:qFormat/>
    <w:uiPriority w:val="99"/>
    <w:rPr>
      <w:sz w:val="21"/>
      <w:szCs w:val="21"/>
    </w:rPr>
  </w:style>
  <w:style w:type="paragraph" w:customStyle="1" w:styleId="13">
    <w:name w:val="列表段落1"/>
    <w:basedOn w:val="1"/>
    <w:link w:val="16"/>
    <w:qFormat/>
    <w:uiPriority w:val="34"/>
    <w:pPr>
      <w:ind w:firstLine="420" w:firstLineChars="200"/>
    </w:pPr>
  </w:style>
  <w:style w:type="character" w:customStyle="1" w:styleId="14">
    <w:name w:val="页眉 字符"/>
    <w:basedOn w:val="11"/>
    <w:link w:val="8"/>
    <w:qFormat/>
    <w:uiPriority w:val="99"/>
    <w:rPr>
      <w:sz w:val="18"/>
      <w:szCs w:val="18"/>
    </w:rPr>
  </w:style>
  <w:style w:type="character" w:customStyle="1" w:styleId="15">
    <w:name w:val="页脚 字符"/>
    <w:basedOn w:val="11"/>
    <w:link w:val="7"/>
    <w:qFormat/>
    <w:uiPriority w:val="99"/>
    <w:rPr>
      <w:sz w:val="18"/>
      <w:szCs w:val="18"/>
    </w:rPr>
  </w:style>
  <w:style w:type="character" w:customStyle="1" w:styleId="16">
    <w:name w:val="列出段落 Char"/>
    <w:link w:val="13"/>
    <w:qFormat/>
    <w:uiPriority w:val="34"/>
    <w:rPr>
      <w:rFonts w:ascii="Calibri" w:hAnsi="Calibri"/>
    </w:rPr>
  </w:style>
  <w:style w:type="character" w:customStyle="1" w:styleId="17">
    <w:name w:val="批注文字 字符"/>
    <w:basedOn w:val="11"/>
    <w:link w:val="5"/>
    <w:semiHidden/>
    <w:qFormat/>
    <w:uiPriority w:val="99"/>
  </w:style>
  <w:style w:type="character" w:customStyle="1" w:styleId="18">
    <w:name w:val="批注主题 字符"/>
    <w:basedOn w:val="17"/>
    <w:link w:val="9"/>
    <w:semiHidden/>
    <w:qFormat/>
    <w:uiPriority w:val="99"/>
    <w:rPr>
      <w:b/>
      <w:bCs/>
    </w:rPr>
  </w:style>
  <w:style w:type="character" w:customStyle="1" w:styleId="19">
    <w:name w:val="批注框文本 字符"/>
    <w:basedOn w:val="11"/>
    <w:link w:val="6"/>
    <w:semiHidden/>
    <w:qFormat/>
    <w:uiPriority w:val="99"/>
    <w:rPr>
      <w:sz w:val="18"/>
      <w:szCs w:val="18"/>
    </w:rPr>
  </w:style>
  <w:style w:type="character" w:customStyle="1" w:styleId="20">
    <w:name w:val="font31"/>
    <w:basedOn w:val="11"/>
    <w:qFormat/>
    <w:uiPriority w:val="0"/>
    <w:rPr>
      <w:rFonts w:hint="eastAsia" w:ascii="宋体" w:hAnsi="宋体" w:eastAsia="宋体" w:cs="宋体"/>
      <w:color w:val="000000"/>
      <w:sz w:val="18"/>
      <w:szCs w:val="18"/>
      <w:u w:val="none"/>
    </w:rPr>
  </w:style>
  <w:style w:type="paragraph" w:customStyle="1" w:styleId="21">
    <w:name w:val="图例"/>
    <w:basedOn w:val="1"/>
    <w:qFormat/>
    <w:uiPriority w:val="0"/>
    <w:pPr>
      <w:spacing w:before="120" w:after="120" w:line="360" w:lineRule="auto"/>
      <w:jc w:val="center"/>
    </w:pPr>
    <w:rPr>
      <w:rFonts w:eastAsia="仿宋_GB2312"/>
      <w:b/>
      <w:sz w:val="24"/>
      <w:szCs w:val="20"/>
    </w:rPr>
  </w:style>
  <w:style w:type="paragraph" w:customStyle="1" w:styleId="2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327</Words>
  <Characters>1867</Characters>
  <Lines>15</Lines>
  <Paragraphs>4</Paragraphs>
  <TotalTime>1</TotalTime>
  <ScaleCrop>false</ScaleCrop>
  <LinksUpToDate>false</LinksUpToDate>
  <CharactersWithSpaces>2190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2022-04-23T04:00:00Z</dcterms:created>
  <dc:creator>强文晓</dc:creator>
  <cp:lastModifiedBy>admin</cp:lastModifiedBy>
  <dcterms:modified xsi:type="dcterms:W3CDTF">2024-07-17T11:14:02Z</dcterms:modified>
  <dc:title>申请人须知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