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bCs/>
          <w:sz w:val="32"/>
          <w:szCs w:val="28"/>
        </w:rPr>
      </w:pPr>
      <w:r>
        <w:rPr>
          <w:rFonts w:ascii="仿宋" w:hAnsi="仿宋" w:eastAsia="仿宋" w:cs="宋体"/>
          <w:b/>
          <w:bCs/>
          <w:sz w:val="32"/>
          <w:szCs w:val="28"/>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1、合格供应商的条件：</w:t>
      </w:r>
    </w:p>
    <w:p>
      <w:pPr>
        <w:tabs>
          <w:tab w:val="left" w:pos="709"/>
        </w:tabs>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1）在中华人民共和国境内注册，具有本项目实施能力，符合、承认并承诺履行本遴选文件各项规定的供应商。</w:t>
      </w:r>
    </w:p>
    <w:p>
      <w:pPr>
        <w:tabs>
          <w:tab w:val="left" w:pos="709"/>
        </w:tabs>
        <w:spacing w:line="360" w:lineRule="auto"/>
        <w:ind w:firstLine="560" w:firstLineChars="200"/>
        <w:rPr>
          <w:rFonts w:ascii="仿宋" w:hAnsi="仿宋" w:eastAsia="仿宋" w:cs="宋体"/>
          <w:bCs/>
          <w:sz w:val="28"/>
          <w:szCs w:val="28"/>
        </w:rPr>
      </w:pPr>
      <w:r>
        <w:rPr>
          <w:rFonts w:ascii="仿宋" w:hAnsi="仿宋" w:eastAsia="仿宋" w:cs="宋体"/>
          <w:bCs/>
          <w:sz w:val="28"/>
          <w:szCs w:val="28"/>
        </w:rPr>
        <w:t>2</w:t>
      </w:r>
      <w:r>
        <w:rPr>
          <w:rFonts w:hint="eastAsia" w:ascii="仿宋" w:hAnsi="仿宋" w:eastAsia="仿宋" w:cs="宋体"/>
          <w:bCs/>
          <w:sz w:val="28"/>
          <w:szCs w:val="28"/>
        </w:rPr>
        <w:t>）供应商应遵守中华人民共和国有关的国家法律、法规和条例。</w:t>
      </w:r>
    </w:p>
    <w:p>
      <w:pPr>
        <w:tabs>
          <w:tab w:val="left" w:pos="709"/>
        </w:tabs>
        <w:spacing w:line="360" w:lineRule="auto"/>
        <w:ind w:firstLine="560" w:firstLineChars="200"/>
        <w:rPr>
          <w:rFonts w:ascii="仿宋" w:hAnsi="仿宋" w:eastAsia="仿宋" w:cs="宋体"/>
          <w:bCs/>
          <w:sz w:val="28"/>
          <w:szCs w:val="28"/>
        </w:rPr>
      </w:pPr>
      <w:r>
        <w:rPr>
          <w:rFonts w:ascii="仿宋" w:hAnsi="仿宋" w:eastAsia="仿宋" w:cs="宋体"/>
          <w:bCs/>
          <w:sz w:val="28"/>
          <w:szCs w:val="28"/>
        </w:rPr>
        <w:t>3</w:t>
      </w:r>
      <w:r>
        <w:rPr>
          <w:rFonts w:hint="eastAsia" w:ascii="仿宋" w:hAnsi="仿宋" w:eastAsia="仿宋" w:cs="宋体"/>
          <w:bCs/>
          <w:sz w:val="28"/>
          <w:szCs w:val="28"/>
        </w:rPr>
        <w:t>）单位负责人为同一人或者报价存在直接控股、管理关系的不同供应商，不得同时参加本项目遴选。违反规定的，相关报价均无效。</w:t>
      </w:r>
    </w:p>
    <w:p>
      <w:pPr>
        <w:tabs>
          <w:tab w:val="left" w:pos="709"/>
        </w:tabs>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4）供应商不得被列入相关部门规定的失信被执行人、重大税收违法案件当事人名单、政府采购严重违法失信行为记录名单。</w:t>
      </w:r>
    </w:p>
    <w:p>
      <w:pPr>
        <w:spacing w:line="360" w:lineRule="auto"/>
        <w:rPr>
          <w:rFonts w:ascii="仿宋" w:hAnsi="仿宋" w:eastAsia="仿宋" w:cs="宋体"/>
          <w:bCs/>
          <w:sz w:val="28"/>
          <w:szCs w:val="28"/>
        </w:rPr>
      </w:pPr>
      <w:r>
        <w:rPr>
          <w:rFonts w:hint="eastAsia" w:ascii="仿宋" w:hAnsi="仿宋" w:eastAsia="仿宋" w:cs="宋体"/>
          <w:bCs/>
          <w:sz w:val="28"/>
          <w:szCs w:val="28"/>
        </w:rPr>
        <w:t>2、遴选响应文件签署和盖章要求：遴选响应文件需打印或用不退色墨水书写，由申请人的法定代表人或其授权代表在遴选文件规定的地方签字，并进行逐页盖章或加盖骑缝章。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3、遴选小组对申请人的遴选响应文件进行商务审查，以确定其是否满足遴选文件的实质性要求，并形成商务审查结果。申请人有任何一项不符合《商务审查表》要求的，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11"/>
        <w:tblW w:w="8528" w:type="dxa"/>
        <w:tblInd w:w="0" w:type="dxa"/>
        <w:tblLayout w:type="fixed"/>
        <w:tblCellMar>
          <w:top w:w="0" w:type="dxa"/>
          <w:left w:w="108" w:type="dxa"/>
          <w:bottom w:w="0" w:type="dxa"/>
          <w:right w:w="108" w:type="dxa"/>
        </w:tblCellMar>
      </w:tblPr>
      <w:tblGrid>
        <w:gridCol w:w="1102"/>
        <w:gridCol w:w="4042"/>
        <w:gridCol w:w="3384"/>
      </w:tblGrid>
      <w:tr>
        <w:tblPrEx>
          <w:tblCellMar>
            <w:top w:w="0" w:type="dxa"/>
            <w:left w:w="108" w:type="dxa"/>
            <w:bottom w:w="0" w:type="dxa"/>
            <w:right w:w="108" w:type="dxa"/>
          </w:tblCellMar>
        </w:tblPrEx>
        <w:trPr>
          <w:trHeight w:val="567"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8"/>
                <w:szCs w:val="28"/>
              </w:rPr>
              <w:t>审查内容</w:t>
            </w:r>
          </w:p>
        </w:tc>
      </w:tr>
      <w:tr>
        <w:tblPrEx>
          <w:tblCellMar>
            <w:top w:w="0" w:type="dxa"/>
            <w:left w:w="108" w:type="dxa"/>
            <w:bottom w:w="0" w:type="dxa"/>
            <w:right w:w="108" w:type="dxa"/>
          </w:tblCellMar>
        </w:tblPrEx>
        <w:trPr>
          <w:trHeight w:val="567"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CellMar>
            <w:top w:w="0" w:type="dxa"/>
            <w:left w:w="108" w:type="dxa"/>
            <w:bottom w:w="0" w:type="dxa"/>
            <w:right w:w="108" w:type="dxa"/>
          </w:tblCellMar>
        </w:tblPrEx>
        <w:trPr>
          <w:trHeight w:val="567"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CellMar>
            <w:top w:w="0" w:type="dxa"/>
            <w:left w:w="108" w:type="dxa"/>
            <w:bottom w:w="0" w:type="dxa"/>
            <w:right w:w="108" w:type="dxa"/>
          </w:tblCellMar>
        </w:tblPrEx>
        <w:trPr>
          <w:trHeight w:val="567"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CellMar>
            <w:top w:w="0" w:type="dxa"/>
            <w:left w:w="108" w:type="dxa"/>
            <w:bottom w:w="0" w:type="dxa"/>
            <w:right w:w="108" w:type="dxa"/>
          </w:tblCellMar>
        </w:tblPrEx>
        <w:trPr>
          <w:trHeight w:val="567"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是否为独立法人</w:t>
            </w:r>
          </w:p>
        </w:tc>
      </w:tr>
      <w:tr>
        <w:tblPrEx>
          <w:tblCellMar>
            <w:top w:w="0" w:type="dxa"/>
            <w:left w:w="108" w:type="dxa"/>
            <w:bottom w:w="0" w:type="dxa"/>
            <w:right w:w="108" w:type="dxa"/>
          </w:tblCellMar>
        </w:tblPrEx>
        <w:trPr>
          <w:trHeight w:val="567"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4、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sz w:val="28"/>
          <w:szCs w:val="28"/>
        </w:rPr>
      </w:pPr>
      <w:r>
        <w:rPr>
          <w:rFonts w:hint="eastAsia" w:ascii="仿宋" w:hAnsi="仿宋" w:eastAsia="仿宋" w:cs="宋体"/>
          <w:bCs/>
          <w:sz w:val="28"/>
          <w:szCs w:val="28"/>
        </w:rPr>
        <w:t>5、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成交候选人。</w:t>
      </w:r>
      <w:r>
        <w:rPr>
          <w:rFonts w:hint="eastAsia" w:ascii="仿宋" w:hAnsi="仿宋" w:eastAsia="仿宋" w:cs="宋体"/>
          <w:b/>
          <w:bCs/>
          <w:sz w:val="28"/>
          <w:szCs w:val="28"/>
        </w:rPr>
        <w:t>由各业务处室最终决定成交申请人。</w:t>
      </w:r>
      <w:r>
        <w:rPr>
          <w:rFonts w:hint="eastAsia" w:ascii="仿宋" w:hAnsi="仿宋" w:eastAsia="仿宋" w:cs="宋体"/>
          <w:bCs/>
          <w:sz w:val="28"/>
          <w:szCs w:val="28"/>
        </w:rPr>
        <w:t>评分分值计算保留小数点后两位，第三位四舍五入。</w:t>
      </w:r>
    </w:p>
    <w:p>
      <w:pPr>
        <w:spacing w:line="360" w:lineRule="auto"/>
        <w:jc w:val="left"/>
        <w:rPr>
          <w:rFonts w:ascii="仿宋" w:hAnsi="仿宋" w:eastAsia="仿宋" w:cs="宋体"/>
          <w:bCs/>
          <w:sz w:val="28"/>
          <w:szCs w:val="28"/>
        </w:rPr>
      </w:pPr>
      <w:r>
        <w:rPr>
          <w:rFonts w:hint="eastAsia" w:ascii="仿宋" w:hAnsi="仿宋" w:eastAsia="仿宋" w:cs="宋体"/>
          <w:bCs/>
          <w:sz w:val="28"/>
          <w:szCs w:val="28"/>
        </w:rPr>
        <w:t>6、如对本项目进行实质性响应的供应商不足2家但大于等于1家时，项目主办处室决定是否继续进行采购活动或延期遴选文件获取时间及递交申请文件时间。如继续进行采购活动，如评审小组按照遴选文件对供应商的申请文件综合打分不足60分时，项目主办处室可以选择本项目废标。</w:t>
      </w:r>
    </w:p>
    <w:p>
      <w:pPr>
        <w:spacing w:line="360" w:lineRule="auto"/>
        <w:rPr>
          <w:rFonts w:ascii="仿宋" w:hAnsi="仿宋" w:eastAsia="仿宋" w:cs="宋体"/>
          <w:bCs/>
          <w:sz w:val="28"/>
          <w:szCs w:val="28"/>
        </w:rPr>
      </w:pPr>
      <w:r>
        <w:rPr>
          <w:rFonts w:hint="eastAsia" w:ascii="仿宋" w:hAnsi="仿宋" w:eastAsia="仿宋" w:cs="宋体"/>
          <w:bCs/>
          <w:sz w:val="28"/>
          <w:szCs w:val="28"/>
        </w:rPr>
        <w:t>7、成交供应商拒绝与采购人签订合同的，采购人可以按照评审报告推荐的成交候选人名单排序，确定下一候选人为成交供应商，也可以重新开展采购活动。</w:t>
      </w:r>
    </w:p>
    <w:p>
      <w:pPr>
        <w:rPr>
          <w:rFonts w:ascii="仿宋" w:hAnsi="仿宋" w:eastAsia="仿宋" w:cs="宋体"/>
          <w:b/>
          <w:bCs/>
          <w:sz w:val="32"/>
          <w:szCs w:val="28"/>
        </w:rPr>
        <w:sectPr>
          <w:pgSz w:w="11906" w:h="16838"/>
          <w:pgMar w:top="1440" w:right="1797" w:bottom="1440" w:left="1797" w:header="851" w:footer="992" w:gutter="0"/>
          <w:cols w:space="720" w:num="1"/>
          <w:docGrid w:type="lines" w:linePitch="312" w:charSpace="0"/>
        </w:sectPr>
      </w:pPr>
    </w:p>
    <w:p>
      <w:pPr>
        <w:widowControl/>
        <w:spacing w:line="0" w:lineRule="atLeast"/>
        <w:jc w:val="center"/>
        <w:rPr>
          <w:rFonts w:hint="eastAsia" w:ascii="黑体" w:hAnsi="黑体" w:eastAsia="黑体" w:cs="黑体"/>
          <w:sz w:val="32"/>
          <w:szCs w:val="32"/>
        </w:rPr>
      </w:pPr>
      <w:r>
        <w:rPr>
          <w:rFonts w:hint="eastAsia" w:ascii="黑体" w:hAnsi="黑体" w:eastAsia="黑体" w:cs="黑体"/>
          <w:sz w:val="32"/>
          <w:szCs w:val="32"/>
        </w:rPr>
        <w:t>评分标准</w:t>
      </w:r>
    </w:p>
    <w:p>
      <w:pPr>
        <w:spacing w:line="0" w:lineRule="atLeast"/>
        <w:rPr>
          <w:rFonts w:ascii="仿宋" w:hAnsi="仿宋" w:eastAsia="仿宋" w:cs="宋体"/>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590"/>
        <w:gridCol w:w="506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center"/>
          </w:tcPr>
          <w:p>
            <w:pPr>
              <w:pStyle w:val="10"/>
              <w:spacing w:after="0" w:line="0" w:lineRule="atLeast"/>
              <w:ind w:left="0" w:leftChars="0" w:firstLine="0" w:firstLineChars="0"/>
              <w:jc w:val="center"/>
              <w:rPr>
                <w:rFonts w:hint="eastAsia" w:ascii="仿宋" w:hAnsi="仿宋" w:eastAsia="仿宋"/>
                <w:color w:val="000000"/>
                <w:sz w:val="24"/>
                <w:szCs w:val="20"/>
              </w:rPr>
            </w:pPr>
            <w:r>
              <w:rPr>
                <w:rFonts w:hint="eastAsia" w:ascii="仿宋" w:hAnsi="仿宋" w:eastAsia="仿宋"/>
                <w:b/>
                <w:color w:val="000000"/>
                <w:szCs w:val="21"/>
              </w:rPr>
              <w:t>内容</w:t>
            </w:r>
          </w:p>
        </w:tc>
        <w:tc>
          <w:tcPr>
            <w:tcW w:w="1590" w:type="dxa"/>
            <w:noWrap w:val="0"/>
            <w:vAlign w:val="center"/>
          </w:tcPr>
          <w:p>
            <w:pPr>
              <w:pStyle w:val="10"/>
              <w:spacing w:after="0" w:line="0" w:lineRule="atLeast"/>
              <w:ind w:left="0" w:leftChars="0" w:firstLine="0" w:firstLineChars="0"/>
              <w:jc w:val="center"/>
              <w:rPr>
                <w:rFonts w:hint="eastAsia" w:ascii="仿宋" w:hAnsi="仿宋" w:eastAsia="仿宋"/>
                <w:color w:val="000000"/>
                <w:sz w:val="24"/>
                <w:szCs w:val="20"/>
              </w:rPr>
            </w:pPr>
            <w:r>
              <w:rPr>
                <w:rFonts w:hint="eastAsia" w:ascii="仿宋" w:hAnsi="仿宋" w:eastAsia="仿宋"/>
                <w:b/>
                <w:color w:val="000000"/>
                <w:szCs w:val="21"/>
              </w:rPr>
              <w:t>评分内容</w:t>
            </w:r>
          </w:p>
        </w:tc>
        <w:tc>
          <w:tcPr>
            <w:tcW w:w="5065" w:type="dxa"/>
            <w:noWrap w:val="0"/>
            <w:vAlign w:val="center"/>
          </w:tcPr>
          <w:p>
            <w:pPr>
              <w:pStyle w:val="10"/>
              <w:spacing w:after="0" w:line="0" w:lineRule="atLeast"/>
              <w:ind w:left="0" w:leftChars="0" w:firstLine="0" w:firstLineChars="0"/>
              <w:jc w:val="center"/>
              <w:rPr>
                <w:rFonts w:hint="eastAsia" w:ascii="仿宋" w:hAnsi="仿宋" w:eastAsia="仿宋"/>
                <w:color w:val="000000"/>
                <w:sz w:val="24"/>
                <w:szCs w:val="20"/>
              </w:rPr>
            </w:pPr>
            <w:r>
              <w:rPr>
                <w:rFonts w:hint="eastAsia" w:ascii="仿宋" w:hAnsi="仿宋" w:eastAsia="仿宋"/>
                <w:b/>
                <w:color w:val="000000"/>
                <w:szCs w:val="21"/>
              </w:rPr>
              <w:t>评标标准</w:t>
            </w:r>
          </w:p>
        </w:tc>
        <w:tc>
          <w:tcPr>
            <w:tcW w:w="709" w:type="dxa"/>
            <w:noWrap w:val="0"/>
            <w:vAlign w:val="center"/>
          </w:tcPr>
          <w:p>
            <w:pPr>
              <w:pStyle w:val="10"/>
              <w:spacing w:after="0" w:line="0" w:lineRule="atLeast"/>
              <w:ind w:left="0" w:leftChars="0" w:firstLine="0" w:firstLineChars="0"/>
              <w:jc w:val="center"/>
              <w:rPr>
                <w:rFonts w:hint="eastAsia" w:ascii="仿宋" w:hAnsi="仿宋" w:eastAsia="仿宋"/>
                <w:b/>
                <w:color w:val="000000"/>
                <w:szCs w:val="21"/>
              </w:rPr>
            </w:pPr>
            <w:r>
              <w:rPr>
                <w:rFonts w:hint="eastAsia" w:ascii="仿宋" w:hAnsi="仿宋" w:eastAsia="仿宋"/>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8" w:type="dxa"/>
            <w:vMerge w:val="restart"/>
            <w:noWrap w:val="0"/>
            <w:vAlign w:val="center"/>
          </w:tcPr>
          <w:p>
            <w:pPr>
              <w:spacing w:line="300" w:lineRule="exact"/>
              <w:rPr>
                <w:rFonts w:hint="eastAsia" w:ascii="宋体" w:hAnsi="宋体" w:cs="宋体"/>
                <w:szCs w:val="21"/>
              </w:rPr>
            </w:pPr>
            <w:r>
              <w:rPr>
                <w:rFonts w:hint="eastAsia" w:ascii="宋体" w:hAnsi="宋体" w:cs="宋体"/>
                <w:szCs w:val="21"/>
              </w:rPr>
              <w:t>商务部分</w:t>
            </w:r>
          </w:p>
        </w:tc>
        <w:tc>
          <w:tcPr>
            <w:tcW w:w="1590" w:type="dxa"/>
            <w:noWrap w:val="0"/>
            <w:vAlign w:val="center"/>
          </w:tcPr>
          <w:p>
            <w:pPr>
              <w:widowControl/>
              <w:spacing w:line="300" w:lineRule="exact"/>
              <w:jc w:val="center"/>
              <w:rPr>
                <w:rFonts w:hint="eastAsia" w:ascii="仿宋" w:hAnsi="仿宋" w:eastAsia="仿宋"/>
                <w:b/>
                <w:bCs/>
                <w:color w:val="000000"/>
                <w:szCs w:val="22"/>
              </w:rPr>
            </w:pPr>
            <w:r>
              <w:rPr>
                <w:rFonts w:hint="eastAsia" w:ascii="宋体" w:hAnsi="宋体" w:cs="宋体"/>
                <w:szCs w:val="21"/>
              </w:rPr>
              <w:t>供应商基本情况</w:t>
            </w:r>
          </w:p>
        </w:tc>
        <w:tc>
          <w:tcPr>
            <w:tcW w:w="5065" w:type="dxa"/>
            <w:noWrap w:val="0"/>
            <w:vAlign w:val="center"/>
          </w:tcPr>
          <w:p>
            <w:pPr>
              <w:widowControl/>
              <w:spacing w:line="300" w:lineRule="exact"/>
              <w:rPr>
                <w:rFonts w:hint="eastAsia" w:ascii="仿宋" w:hAnsi="仿宋" w:eastAsia="仿宋"/>
                <w:color w:val="000000"/>
                <w:sz w:val="24"/>
                <w:szCs w:val="20"/>
              </w:rPr>
            </w:pPr>
            <w:r>
              <w:rPr>
                <w:rFonts w:hint="eastAsia" w:ascii="宋体" w:hAnsi="宋体" w:cs="宋体"/>
                <w:szCs w:val="21"/>
              </w:rPr>
              <w:t>熟悉安宁疗护生命观宣传工作。（横向比较，最优得5分、一般得3分、较差得0分）</w:t>
            </w:r>
          </w:p>
        </w:tc>
        <w:tc>
          <w:tcPr>
            <w:tcW w:w="709" w:type="dxa"/>
            <w:noWrap w:val="0"/>
            <w:vAlign w:val="center"/>
          </w:tcPr>
          <w:p>
            <w:pPr>
              <w:spacing w:line="0" w:lineRule="atLeast"/>
              <w:jc w:val="center"/>
              <w:rPr>
                <w:rFonts w:hint="eastAsia" w:ascii="仿宋" w:hAnsi="仿宋" w:eastAsia="仿宋" w:cs="仿宋_GB2312"/>
                <w:color w:val="000000"/>
                <w:szCs w:val="21"/>
              </w:rPr>
            </w:pPr>
            <w:r>
              <w:rPr>
                <w:rFonts w:hint="eastAsia" w:ascii="仿宋" w:hAnsi="仿宋" w:eastAsia="仿宋" w:cs="仿宋_GB2312"/>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108" w:type="dxa"/>
            <w:vMerge w:val="continue"/>
            <w:noWrap w:val="0"/>
            <w:vAlign w:val="top"/>
          </w:tcPr>
          <w:p>
            <w:pPr>
              <w:spacing w:line="300" w:lineRule="exact"/>
              <w:rPr>
                <w:rFonts w:hint="eastAsia" w:ascii="宋体" w:hAnsi="宋体" w:cs="宋体"/>
                <w:szCs w:val="21"/>
              </w:rPr>
            </w:pPr>
          </w:p>
        </w:tc>
        <w:tc>
          <w:tcPr>
            <w:tcW w:w="1590" w:type="dxa"/>
            <w:noWrap w:val="0"/>
            <w:vAlign w:val="center"/>
          </w:tcPr>
          <w:p>
            <w:pPr>
              <w:widowControl/>
              <w:spacing w:line="300" w:lineRule="exact"/>
              <w:jc w:val="center"/>
              <w:rPr>
                <w:rFonts w:hint="eastAsia" w:ascii="仿宋" w:hAnsi="仿宋" w:eastAsia="仿宋"/>
                <w:b/>
                <w:bCs/>
                <w:color w:val="000000"/>
                <w:szCs w:val="22"/>
              </w:rPr>
            </w:pPr>
            <w:r>
              <w:rPr>
                <w:rFonts w:hint="eastAsia" w:ascii="宋体" w:hAnsi="宋体" w:cs="宋体"/>
                <w:szCs w:val="21"/>
              </w:rPr>
              <w:t>供应商的管理经验</w:t>
            </w:r>
          </w:p>
        </w:tc>
        <w:tc>
          <w:tcPr>
            <w:tcW w:w="5065" w:type="dxa"/>
            <w:noWrap w:val="0"/>
            <w:vAlign w:val="center"/>
          </w:tcPr>
          <w:p>
            <w:pPr>
              <w:widowControl/>
              <w:spacing w:line="300" w:lineRule="exact"/>
              <w:rPr>
                <w:rFonts w:hint="eastAsia" w:ascii="仿宋" w:hAnsi="仿宋" w:eastAsia="仿宋"/>
                <w:color w:val="000000"/>
                <w:szCs w:val="21"/>
              </w:rPr>
            </w:pPr>
            <w:r>
              <w:rPr>
                <w:rFonts w:hint="eastAsia" w:ascii="宋体" w:hAnsi="宋体" w:cs="宋体"/>
                <w:szCs w:val="21"/>
              </w:rPr>
              <w:t>供应商近3年来从事安宁疗护生命观宣传工作。每提供1份业绩得3分，最多15分（业绩需符合本次遴选项目内容）。</w:t>
            </w:r>
          </w:p>
        </w:tc>
        <w:tc>
          <w:tcPr>
            <w:tcW w:w="709"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spacing w:line="300" w:lineRule="exact"/>
              <w:rPr>
                <w:rFonts w:hint="eastAsia" w:ascii="宋体" w:hAnsi="宋体" w:cs="宋体"/>
                <w:szCs w:val="21"/>
              </w:rPr>
            </w:pPr>
          </w:p>
        </w:tc>
        <w:tc>
          <w:tcPr>
            <w:tcW w:w="1590" w:type="dxa"/>
            <w:vMerge w:val="restart"/>
            <w:noWrap w:val="0"/>
            <w:vAlign w:val="center"/>
          </w:tcPr>
          <w:p>
            <w:pPr>
              <w:widowControl/>
              <w:spacing w:line="300" w:lineRule="exact"/>
              <w:jc w:val="center"/>
              <w:rPr>
                <w:rFonts w:hint="eastAsia" w:ascii="仿宋" w:hAnsi="仿宋" w:eastAsia="仿宋"/>
                <w:b/>
                <w:bCs/>
                <w:color w:val="000000"/>
                <w:szCs w:val="22"/>
              </w:rPr>
            </w:pPr>
            <w:r>
              <w:rPr>
                <w:rFonts w:hint="eastAsia" w:ascii="宋体" w:hAnsi="宋体" w:cs="宋体"/>
                <w:szCs w:val="21"/>
              </w:rPr>
              <w:t>项目人员配备</w:t>
            </w:r>
          </w:p>
        </w:tc>
        <w:tc>
          <w:tcPr>
            <w:tcW w:w="5065" w:type="dxa"/>
            <w:noWrap w:val="0"/>
            <w:vAlign w:val="center"/>
          </w:tcPr>
          <w:p>
            <w:pPr>
              <w:spacing w:line="300" w:lineRule="exact"/>
              <w:rPr>
                <w:rFonts w:hint="eastAsia" w:ascii="宋体" w:hAnsi="宋体" w:cs="宋体"/>
                <w:szCs w:val="21"/>
              </w:rPr>
            </w:pPr>
            <w:r>
              <w:rPr>
                <w:rFonts w:hint="eastAsia" w:ascii="宋体" w:hAnsi="宋体" w:cs="宋体"/>
                <w:szCs w:val="21"/>
              </w:rPr>
              <w:t>拟投入本项目负责人应具有2年以上安宁疗护生命观宣传工作经验（2分）；符合要求得2分，不符合得0分。</w:t>
            </w:r>
          </w:p>
          <w:p>
            <w:pPr>
              <w:spacing w:line="300" w:lineRule="exact"/>
              <w:rPr>
                <w:rFonts w:hint="eastAsia" w:ascii="仿宋" w:hAnsi="仿宋" w:eastAsia="仿宋" w:cs="仿宋_GB2312"/>
                <w:color w:val="000000"/>
                <w:kern w:val="0"/>
                <w:szCs w:val="21"/>
              </w:rPr>
            </w:pPr>
            <w:r>
              <w:rPr>
                <w:rFonts w:hint="eastAsia" w:ascii="宋体" w:hAnsi="宋体" w:cs="宋体"/>
                <w:szCs w:val="21"/>
              </w:rPr>
              <w:t>承担过安宁疗护生命观宣传相关工作得2分（需提供相关证明材料）,未承担过得0分。</w:t>
            </w:r>
          </w:p>
        </w:tc>
        <w:tc>
          <w:tcPr>
            <w:tcW w:w="709" w:type="dxa"/>
            <w:noWrap w:val="0"/>
            <w:vAlign w:val="center"/>
          </w:tcPr>
          <w:p>
            <w:pPr>
              <w:spacing w:line="0" w:lineRule="atLeast"/>
              <w:jc w:val="center"/>
              <w:rPr>
                <w:rFonts w:hint="eastAsia" w:ascii="仿宋" w:hAnsi="仿宋" w:eastAsia="仿宋" w:cs="仿宋_GB2312"/>
                <w:color w:val="000000"/>
                <w:kern w:val="0"/>
                <w:szCs w:val="21"/>
              </w:rPr>
            </w:pPr>
            <w:r>
              <w:rPr>
                <w:rFonts w:hint="eastAsia" w:ascii="仿宋" w:hAnsi="仿宋" w:eastAsia="仿宋" w:cs="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spacing w:line="300" w:lineRule="exact"/>
              <w:rPr>
                <w:rFonts w:hint="eastAsia" w:ascii="宋体" w:hAnsi="宋体" w:cs="宋体"/>
                <w:szCs w:val="21"/>
              </w:rPr>
            </w:pPr>
          </w:p>
        </w:tc>
        <w:tc>
          <w:tcPr>
            <w:tcW w:w="1590" w:type="dxa"/>
            <w:vMerge w:val="continue"/>
            <w:noWrap w:val="0"/>
            <w:vAlign w:val="center"/>
          </w:tcPr>
          <w:p>
            <w:pPr>
              <w:widowControl/>
              <w:spacing w:line="300" w:lineRule="exact"/>
              <w:jc w:val="center"/>
              <w:rPr>
                <w:rFonts w:hint="eastAsia" w:ascii="仿宋" w:hAnsi="仿宋" w:eastAsia="仿宋"/>
                <w:b/>
                <w:bCs/>
                <w:color w:val="000000"/>
                <w:szCs w:val="22"/>
              </w:rPr>
            </w:pPr>
          </w:p>
        </w:tc>
        <w:tc>
          <w:tcPr>
            <w:tcW w:w="5065" w:type="dxa"/>
            <w:noWrap w:val="0"/>
            <w:vAlign w:val="center"/>
          </w:tcPr>
          <w:p>
            <w:pPr>
              <w:spacing w:line="300" w:lineRule="exact"/>
              <w:rPr>
                <w:rFonts w:hint="eastAsia" w:ascii="仿宋" w:hAnsi="仿宋" w:eastAsia="仿宋" w:cs="仿宋_GB2312"/>
                <w:color w:val="000000"/>
                <w:szCs w:val="21"/>
              </w:rPr>
            </w:pPr>
            <w:r>
              <w:rPr>
                <w:rFonts w:hint="eastAsia" w:ascii="宋体" w:hAnsi="宋体" w:cs="宋体"/>
                <w:szCs w:val="21"/>
              </w:rPr>
              <w:t>拟投入本项目团队主要成员情况及参与过相关项目的资料，需提供人员名册，必须保证后续参与该项工作。（横向比较，最优得6分、较好得4分、一般得2分、较差得0分）</w:t>
            </w:r>
          </w:p>
        </w:tc>
        <w:tc>
          <w:tcPr>
            <w:tcW w:w="709" w:type="dxa"/>
            <w:noWrap w:val="0"/>
            <w:vAlign w:val="center"/>
          </w:tcPr>
          <w:p>
            <w:pPr>
              <w:spacing w:line="0" w:lineRule="atLeast"/>
              <w:jc w:val="center"/>
              <w:rPr>
                <w:rFonts w:hint="eastAsia" w:ascii="仿宋" w:hAnsi="仿宋" w:eastAsia="仿宋" w:cs="仿宋_GB2312"/>
                <w:color w:val="000000"/>
                <w:szCs w:val="21"/>
              </w:rPr>
            </w:pPr>
            <w:r>
              <w:rPr>
                <w:rFonts w:hint="eastAsia" w:ascii="仿宋" w:hAnsi="仿宋" w:eastAsia="仿宋" w:cs="仿宋_GB2312"/>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restart"/>
            <w:noWrap w:val="0"/>
            <w:vAlign w:val="center"/>
          </w:tcPr>
          <w:p>
            <w:pPr>
              <w:spacing w:line="300" w:lineRule="exact"/>
              <w:rPr>
                <w:rFonts w:hint="eastAsia" w:ascii="宋体" w:hAnsi="宋体" w:cs="宋体"/>
                <w:szCs w:val="21"/>
              </w:rPr>
            </w:pPr>
            <w:r>
              <w:rPr>
                <w:rFonts w:hint="eastAsia" w:ascii="宋体" w:hAnsi="宋体" w:cs="宋体"/>
                <w:szCs w:val="21"/>
              </w:rPr>
              <w:t>技术部分</w:t>
            </w:r>
          </w:p>
        </w:tc>
        <w:tc>
          <w:tcPr>
            <w:tcW w:w="1590" w:type="dxa"/>
            <w:noWrap w:val="0"/>
            <w:vAlign w:val="center"/>
          </w:tcPr>
          <w:p>
            <w:pPr>
              <w:widowControl/>
              <w:spacing w:line="300" w:lineRule="exact"/>
              <w:jc w:val="center"/>
              <w:rPr>
                <w:rFonts w:hint="eastAsia" w:ascii="仿宋" w:hAnsi="仿宋" w:eastAsia="仿宋"/>
                <w:b/>
                <w:bCs/>
                <w:color w:val="000000"/>
                <w:szCs w:val="22"/>
              </w:rPr>
            </w:pPr>
            <w:r>
              <w:rPr>
                <w:rFonts w:hint="eastAsia" w:ascii="宋体" w:hAnsi="宋体" w:cs="宋体"/>
                <w:szCs w:val="21"/>
              </w:rPr>
              <w:t>推进方案内容与工作方法</w:t>
            </w:r>
          </w:p>
        </w:tc>
        <w:tc>
          <w:tcPr>
            <w:tcW w:w="5065" w:type="dxa"/>
            <w:noWrap w:val="0"/>
            <w:vAlign w:val="center"/>
          </w:tcPr>
          <w:p>
            <w:pPr>
              <w:widowControl/>
              <w:spacing w:line="300" w:lineRule="exact"/>
              <w:rPr>
                <w:rFonts w:hint="eastAsia" w:ascii="仿宋" w:hAnsi="仿宋" w:eastAsia="仿宋" w:cs="仿宋_GB2312"/>
                <w:color w:val="000000"/>
                <w:szCs w:val="21"/>
              </w:rPr>
            </w:pPr>
            <w:r>
              <w:rPr>
                <w:rFonts w:hint="eastAsia" w:ascii="宋体" w:hAnsi="宋体" w:cs="宋体"/>
                <w:szCs w:val="21"/>
              </w:rPr>
              <w:t>项目推进的工作进度和工作流程编制思路清晰、目标明确、条理严谨，符合遴选工作任务要求，预期成果完备。优秀的，得35分；良好的，得20分；一般的，得10分；较差的，得0分。</w:t>
            </w:r>
          </w:p>
        </w:tc>
        <w:tc>
          <w:tcPr>
            <w:tcW w:w="709"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108" w:type="dxa"/>
            <w:vMerge w:val="continue"/>
            <w:noWrap w:val="0"/>
            <w:vAlign w:val="top"/>
          </w:tcPr>
          <w:p>
            <w:pPr>
              <w:spacing w:line="0" w:lineRule="atLeast"/>
              <w:rPr>
                <w:rFonts w:hint="eastAsia" w:ascii="仿宋" w:hAnsi="仿宋" w:eastAsia="仿宋"/>
                <w:b/>
                <w:bCs/>
                <w:color w:val="000000"/>
                <w:szCs w:val="22"/>
              </w:rPr>
            </w:pPr>
          </w:p>
        </w:tc>
        <w:tc>
          <w:tcPr>
            <w:tcW w:w="1590" w:type="dxa"/>
            <w:noWrap w:val="0"/>
            <w:vAlign w:val="center"/>
          </w:tcPr>
          <w:p>
            <w:pPr>
              <w:widowControl/>
              <w:spacing w:line="300" w:lineRule="exact"/>
              <w:jc w:val="center"/>
              <w:rPr>
                <w:rFonts w:hint="eastAsia" w:ascii="仿宋" w:hAnsi="仿宋" w:eastAsia="仿宋"/>
                <w:b/>
                <w:bCs/>
                <w:color w:val="000000"/>
                <w:szCs w:val="22"/>
              </w:rPr>
            </w:pPr>
            <w:r>
              <w:rPr>
                <w:rFonts w:hint="eastAsia" w:ascii="宋体" w:hAnsi="宋体" w:cs="宋体"/>
                <w:szCs w:val="21"/>
              </w:rPr>
              <w:t>质量保证措施</w:t>
            </w:r>
          </w:p>
        </w:tc>
        <w:tc>
          <w:tcPr>
            <w:tcW w:w="5065" w:type="dxa"/>
            <w:noWrap w:val="0"/>
            <w:vAlign w:val="center"/>
          </w:tcPr>
          <w:p>
            <w:pPr>
              <w:widowControl/>
              <w:spacing w:line="300" w:lineRule="exact"/>
              <w:rPr>
                <w:rFonts w:hint="eastAsia" w:ascii="仿宋" w:hAnsi="仿宋" w:eastAsia="仿宋"/>
                <w:color w:val="000000"/>
                <w:szCs w:val="21"/>
              </w:rPr>
            </w:pPr>
            <w:r>
              <w:rPr>
                <w:rFonts w:hint="eastAsia" w:ascii="宋体" w:hAnsi="宋体" w:cs="宋体"/>
                <w:szCs w:val="21"/>
              </w:rPr>
              <w:t>供应商人员安排合理，能够在服务期内高质量完成合同要求。优秀的，得15分；良好的，得10分；一般的，得5分；较差的，得0分（需提供2021年内的相关项目的合同或批准文件）。</w:t>
            </w:r>
          </w:p>
        </w:tc>
        <w:tc>
          <w:tcPr>
            <w:tcW w:w="709"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spacing w:line="0" w:lineRule="atLeast"/>
              <w:rPr>
                <w:rFonts w:hint="eastAsia" w:ascii="仿宋" w:hAnsi="仿宋" w:eastAsia="仿宋"/>
                <w:b/>
                <w:bCs/>
                <w:color w:val="000000"/>
                <w:szCs w:val="22"/>
              </w:rPr>
            </w:pPr>
          </w:p>
        </w:tc>
        <w:tc>
          <w:tcPr>
            <w:tcW w:w="1590" w:type="dxa"/>
            <w:noWrap w:val="0"/>
            <w:vAlign w:val="center"/>
          </w:tcPr>
          <w:p>
            <w:pPr>
              <w:widowControl/>
              <w:spacing w:line="300" w:lineRule="exact"/>
              <w:jc w:val="center"/>
              <w:rPr>
                <w:rFonts w:hint="eastAsia" w:ascii="仿宋" w:hAnsi="仿宋" w:eastAsia="仿宋"/>
                <w:b/>
                <w:bCs/>
                <w:color w:val="000000"/>
                <w:szCs w:val="22"/>
              </w:rPr>
            </w:pPr>
            <w:r>
              <w:rPr>
                <w:rFonts w:hint="eastAsia" w:ascii="宋体" w:hAnsi="宋体" w:cs="宋体"/>
                <w:szCs w:val="21"/>
              </w:rPr>
              <w:t>服务承诺</w:t>
            </w:r>
          </w:p>
        </w:tc>
        <w:tc>
          <w:tcPr>
            <w:tcW w:w="5065" w:type="dxa"/>
            <w:noWrap w:val="0"/>
            <w:vAlign w:val="center"/>
          </w:tcPr>
          <w:p>
            <w:pPr>
              <w:widowControl/>
              <w:spacing w:line="300" w:lineRule="exact"/>
              <w:rPr>
                <w:rFonts w:hint="eastAsia" w:ascii="仿宋" w:hAnsi="仿宋" w:eastAsia="仿宋"/>
                <w:color w:val="000000"/>
                <w:sz w:val="24"/>
                <w:szCs w:val="20"/>
              </w:rPr>
            </w:pPr>
            <w:r>
              <w:rPr>
                <w:rFonts w:hint="eastAsia" w:ascii="宋体" w:hAnsi="宋体" w:cs="宋体"/>
                <w:szCs w:val="21"/>
              </w:rPr>
              <w:t>供应商须提供沟通机制，内容包括①服务人员安排②沟通方案，要求有专人定期沟通，配合。优秀的，得10分；良好的，得7分；一般的，得4分；较差的，得0分。</w:t>
            </w:r>
          </w:p>
        </w:tc>
        <w:tc>
          <w:tcPr>
            <w:tcW w:w="709" w:type="dxa"/>
            <w:noWrap w:val="0"/>
            <w:vAlign w:val="center"/>
          </w:tcPr>
          <w:p>
            <w:pPr>
              <w:pStyle w:val="10"/>
              <w:spacing w:after="0" w:line="0" w:lineRule="atLeast"/>
              <w:ind w:left="0" w:leftChars="0" w:firstLine="0" w:firstLineChars="0"/>
              <w:jc w:val="center"/>
              <w:rPr>
                <w:rFonts w:hint="eastAsia" w:ascii="仿宋" w:hAnsi="仿宋" w:eastAsia="仿宋" w:cs="仿宋_GB2312"/>
                <w:color w:val="000000"/>
                <w:szCs w:val="21"/>
              </w:rPr>
            </w:pPr>
            <w:r>
              <w:rPr>
                <w:rFonts w:hint="eastAsia" w:ascii="仿宋" w:hAnsi="仿宋" w:eastAsia="仿宋" w:cs="仿宋_GB2312"/>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noWrap w:val="0"/>
            <w:vAlign w:val="center"/>
          </w:tcPr>
          <w:p>
            <w:pPr>
              <w:widowControl/>
              <w:spacing w:line="300" w:lineRule="exact"/>
              <w:jc w:val="center"/>
              <w:rPr>
                <w:rFonts w:hint="eastAsia" w:ascii="宋体" w:hAnsi="宋体" w:cs="宋体"/>
                <w:szCs w:val="21"/>
              </w:rPr>
            </w:pPr>
            <w:r>
              <w:rPr>
                <w:rFonts w:hint="eastAsia" w:ascii="宋体" w:hAnsi="宋体" w:cs="宋体"/>
                <w:szCs w:val="21"/>
              </w:rPr>
              <w:t>投标报价</w:t>
            </w:r>
          </w:p>
        </w:tc>
        <w:tc>
          <w:tcPr>
            <w:tcW w:w="6655" w:type="dxa"/>
            <w:gridSpan w:val="2"/>
            <w:noWrap w:val="0"/>
            <w:vAlign w:val="center"/>
          </w:tcPr>
          <w:p>
            <w:pPr>
              <w:spacing w:line="0" w:lineRule="atLeast"/>
              <w:rPr>
                <w:rFonts w:hint="eastAsia" w:ascii="仿宋" w:hAnsi="仿宋" w:eastAsia="仿宋" w:cs="仿宋_GB2312"/>
                <w:color w:val="000000"/>
                <w:szCs w:val="21"/>
              </w:rPr>
            </w:pPr>
            <w:r>
              <w:rPr>
                <w:rFonts w:hint="eastAsia" w:ascii="宋体" w:hAnsi="宋体"/>
                <w:szCs w:val="21"/>
              </w:rPr>
              <w:t>报价得分=（评标基准价/报价）×价格权值×100</w:t>
            </w:r>
          </w:p>
        </w:tc>
        <w:tc>
          <w:tcPr>
            <w:tcW w:w="709" w:type="dxa"/>
            <w:noWrap w:val="0"/>
            <w:vAlign w:val="center"/>
          </w:tcPr>
          <w:p>
            <w:pPr>
              <w:spacing w:line="0" w:lineRule="atLeast"/>
              <w:jc w:val="center"/>
              <w:rPr>
                <w:rFonts w:hint="eastAsia" w:ascii="仿宋" w:hAnsi="仿宋" w:eastAsia="仿宋"/>
                <w:color w:val="000000"/>
              </w:rPr>
            </w:pPr>
            <w:r>
              <w:rPr>
                <w:rFonts w:hint="eastAsia" w:ascii="仿宋" w:hAnsi="仿宋" w:eastAsia="仿宋"/>
                <w:color w:val="000000"/>
              </w:rPr>
              <w:t>10</w:t>
            </w:r>
          </w:p>
        </w:tc>
      </w:tr>
    </w:tbl>
    <w:p>
      <w:pPr>
        <w:widowControl/>
        <w:jc w:val="left"/>
        <w:rPr>
          <w:rFonts w:ascii="仿宋" w:hAnsi="仿宋" w:eastAsia="仿宋" w:cs="宋体"/>
          <w:bCs/>
          <w:sz w:val="28"/>
          <w:szCs w:val="28"/>
        </w:rPr>
      </w:pPr>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roma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ytzAzMrI0NrUwMLJQ0lEKTi0uzszPAykwrAUAMw9KnSwAAAA="/>
    <w:docVar w:name="commondata" w:val="eyJoZGlkIjoiNTkwYTE4YWJjNjlmZWJjYTg2NGNkODU2YzdmNGY1YTIifQ=="/>
  </w:docVars>
  <w:rsids>
    <w:rsidRoot w:val="0099485C"/>
    <w:rsid w:val="000A22BF"/>
    <w:rsid w:val="000F5C39"/>
    <w:rsid w:val="00166649"/>
    <w:rsid w:val="00193EAA"/>
    <w:rsid w:val="002813AC"/>
    <w:rsid w:val="00296944"/>
    <w:rsid w:val="002D2684"/>
    <w:rsid w:val="003B2C36"/>
    <w:rsid w:val="003D1C53"/>
    <w:rsid w:val="003D5F9E"/>
    <w:rsid w:val="003E70D5"/>
    <w:rsid w:val="004A674A"/>
    <w:rsid w:val="004D73E0"/>
    <w:rsid w:val="004F644E"/>
    <w:rsid w:val="00504DC9"/>
    <w:rsid w:val="00515BAC"/>
    <w:rsid w:val="006337E9"/>
    <w:rsid w:val="006F7B9A"/>
    <w:rsid w:val="0072607C"/>
    <w:rsid w:val="007456A2"/>
    <w:rsid w:val="00797524"/>
    <w:rsid w:val="007A7660"/>
    <w:rsid w:val="008A2C42"/>
    <w:rsid w:val="0099485C"/>
    <w:rsid w:val="00B33D64"/>
    <w:rsid w:val="00B82E11"/>
    <w:rsid w:val="00B927D3"/>
    <w:rsid w:val="00BA4C9E"/>
    <w:rsid w:val="00CA49E3"/>
    <w:rsid w:val="00D875C2"/>
    <w:rsid w:val="00DB1122"/>
    <w:rsid w:val="00E54984"/>
    <w:rsid w:val="00FF1677"/>
    <w:rsid w:val="0185358B"/>
    <w:rsid w:val="064424ED"/>
    <w:rsid w:val="09410F65"/>
    <w:rsid w:val="286165E5"/>
    <w:rsid w:val="28BA4A28"/>
    <w:rsid w:val="2A021EEC"/>
    <w:rsid w:val="2AB733DD"/>
    <w:rsid w:val="34F66FC6"/>
    <w:rsid w:val="3EBDAE75"/>
    <w:rsid w:val="45B977E8"/>
    <w:rsid w:val="473506D4"/>
    <w:rsid w:val="4AF65EAE"/>
    <w:rsid w:val="532A7941"/>
    <w:rsid w:val="54ED50CA"/>
    <w:rsid w:val="65DC3BB9"/>
    <w:rsid w:val="68A51AEC"/>
    <w:rsid w:val="711E3E45"/>
    <w:rsid w:val="71A07410"/>
    <w:rsid w:val="7834054B"/>
    <w:rsid w:val="7A2C349C"/>
    <w:rsid w:val="DFBA1A89"/>
    <w:rsid w:val="EF5E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qFormat="1" w:unhideWhenUsed="0" w:uiPriority="0" w:semiHidden="0" w:name="table of figures"/>
    <w:lsdException w:uiPriority="0" w:name="envelope address"/>
    <w:lsdException w:qFormat="1" w:uiPriority="0"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annotation text"/>
    <w:basedOn w:val="1"/>
    <w:link w:val="18"/>
    <w:unhideWhenUsed/>
    <w:qFormat/>
    <w:uiPriority w:val="99"/>
    <w:pPr>
      <w:jc w:val="left"/>
    </w:pPr>
  </w:style>
  <w:style w:type="paragraph" w:styleId="4">
    <w:name w:val="Body Text Indent"/>
    <w:basedOn w:val="1"/>
    <w:next w:val="1"/>
    <w:semiHidden/>
    <w:unhideWhenUsed/>
    <w:qFormat/>
    <w:uiPriority w:val="99"/>
    <w:pPr>
      <w:spacing w:after="120"/>
      <w:ind w:left="420" w:leftChars="200"/>
    </w:pPr>
  </w:style>
  <w:style w:type="paragraph" w:styleId="5">
    <w:name w:val="Balloon Text"/>
    <w:basedOn w:val="1"/>
    <w:link w:val="20"/>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envelope return"/>
    <w:basedOn w:val="1"/>
    <w:unhideWhenUsed/>
    <w:qFormat/>
    <w:uiPriority w:val="0"/>
    <w:pPr>
      <w:snapToGrid w:val="0"/>
    </w:pPr>
    <w:rPr>
      <w:rFonts w:ascii="Arial" w:hAnsi="Arial"/>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9"/>
    <w:unhideWhenUsed/>
    <w:qFormat/>
    <w:uiPriority w:val="99"/>
    <w:rPr>
      <w:b/>
      <w:bCs/>
    </w:rPr>
  </w:style>
  <w:style w:type="paragraph" w:styleId="10">
    <w:name w:val="Body Text First Indent 2"/>
    <w:basedOn w:val="4"/>
    <w:next w:val="1"/>
    <w:qFormat/>
    <w:uiPriority w:val="0"/>
    <w:pPr>
      <w:ind w:firstLine="420" w:firstLineChars="200"/>
    </w:pPr>
  </w:style>
  <w:style w:type="character" w:styleId="13">
    <w:name w:val="annotation reference"/>
    <w:basedOn w:val="12"/>
    <w:unhideWhenUsed/>
    <w:qFormat/>
    <w:uiPriority w:val="99"/>
    <w:rPr>
      <w:sz w:val="21"/>
      <w:szCs w:val="21"/>
    </w:rPr>
  </w:style>
  <w:style w:type="paragraph" w:customStyle="1" w:styleId="14">
    <w:name w:val="列表段落1"/>
    <w:basedOn w:val="1"/>
    <w:link w:val="17"/>
    <w:qFormat/>
    <w:uiPriority w:val="34"/>
    <w:pPr>
      <w:ind w:firstLine="420" w:firstLineChars="200"/>
    </w:pPr>
  </w:style>
  <w:style w:type="character" w:customStyle="1" w:styleId="15">
    <w:name w:val="页眉 字符"/>
    <w:basedOn w:val="12"/>
    <w:link w:val="8"/>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列出段落 Char"/>
    <w:link w:val="14"/>
    <w:qFormat/>
    <w:uiPriority w:val="34"/>
    <w:rPr>
      <w:rFonts w:ascii="Calibri" w:hAnsi="Calibri"/>
    </w:rPr>
  </w:style>
  <w:style w:type="character" w:customStyle="1" w:styleId="18">
    <w:name w:val="批注文字 字符"/>
    <w:basedOn w:val="12"/>
    <w:link w:val="3"/>
    <w:semiHidden/>
    <w:qFormat/>
    <w:uiPriority w:val="99"/>
  </w:style>
  <w:style w:type="character" w:customStyle="1" w:styleId="19">
    <w:name w:val="批注主题 字符"/>
    <w:basedOn w:val="18"/>
    <w:link w:val="9"/>
    <w:semiHidden/>
    <w:qFormat/>
    <w:uiPriority w:val="99"/>
    <w:rPr>
      <w:b/>
      <w:bCs/>
    </w:rPr>
  </w:style>
  <w:style w:type="character" w:customStyle="1" w:styleId="20">
    <w:name w:val="批注框文本 字符"/>
    <w:basedOn w:val="12"/>
    <w:link w:val="5"/>
    <w:semiHidden/>
    <w:qFormat/>
    <w:uiPriority w:val="99"/>
    <w:rPr>
      <w:sz w:val="18"/>
      <w:szCs w:val="18"/>
    </w:rPr>
  </w:style>
  <w:style w:type="paragraph" w:customStyle="1" w:styleId="21">
    <w:name w:val="正文表格"/>
    <w:basedOn w:val="1"/>
    <w:qFormat/>
    <w:uiPriority w:val="0"/>
    <w:pPr>
      <w:adjustRightInd w:val="0"/>
      <w:snapToGrid w:val="0"/>
      <w:jc w:val="left"/>
    </w:pPr>
    <w:rPr>
      <w:rFonts w:ascii="宋体" w:hAnsi="宋体"/>
      <w:color w:val="000000"/>
      <w:szCs w:val="21"/>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1879</Words>
  <Characters>1900</Characters>
  <Lines>17</Lines>
  <Paragraphs>4</Paragraphs>
  <TotalTime>0</TotalTime>
  <ScaleCrop>false</ScaleCrop>
  <LinksUpToDate>false</LinksUpToDate>
  <CharactersWithSpaces>1902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2024-04-12T02:59:00Z</dcterms:created>
  <dc:creator>强文晓</dc:creator>
  <cp:lastModifiedBy>admin</cp:lastModifiedBy>
  <dcterms:modified xsi:type="dcterms:W3CDTF">2024-07-04T10:11:38Z</dcterms:modified>
  <dc:title>申请人须知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8E53B1A6991844FCBF02DD2E1ED5670C_13</vt:lpwstr>
  </property>
</Properties>
</file>