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32"/>
          <w:szCs w:val="28"/>
        </w:rPr>
      </w:pPr>
      <w:bookmarkStart w:id="0" w:name="_GoBack"/>
      <w:bookmarkEnd w:id="0"/>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8"/>
                <w:szCs w:val="28"/>
              </w:rPr>
              <w:t>审查内容</w:t>
            </w:r>
          </w:p>
        </w:tc>
      </w:tr>
      <w:tr>
        <w:tblPrEx>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是否为独立法人</w:t>
            </w:r>
          </w:p>
        </w:tc>
      </w:tr>
      <w:tr>
        <w:tblPrEx>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jc w:val="left"/>
        <w:rPr>
          <w:rFonts w:ascii="仿宋" w:hAnsi="仿宋" w:eastAsia="仿宋" w:cs="宋体"/>
          <w:bCs/>
          <w:sz w:val="28"/>
          <w:szCs w:val="28"/>
        </w:rPr>
      </w:pPr>
      <w:r>
        <w:rPr>
          <w:rFonts w:hint="eastAsia" w:ascii="仿宋" w:hAnsi="仿宋" w:eastAsia="仿宋" w:cs="宋体"/>
          <w:bCs/>
          <w:sz w:val="28"/>
          <w:szCs w:val="28"/>
        </w:rPr>
        <w:t>5、如对本项目进行实质性响应的供应商不足2家但大于等于1家时，项目主办处室决定是否继续进行采购活动或延期遴选文件获取时间及递交申请文件时间。如继续进行采购活动，如评审小组按照遴选文件对供应商的申请文件综合打分不足60分时，项目主办处室可以选择本项目废标。</w:t>
      </w:r>
    </w:p>
    <w:p>
      <w:pPr>
        <w:spacing w:line="360" w:lineRule="auto"/>
        <w:rPr>
          <w:rFonts w:ascii="仿宋" w:hAnsi="仿宋" w:eastAsia="仿宋" w:cs="宋体"/>
          <w:bCs/>
          <w:sz w:val="28"/>
          <w:szCs w:val="28"/>
        </w:rPr>
      </w:pPr>
      <w:r>
        <w:rPr>
          <w:rFonts w:hint="eastAsia" w:ascii="仿宋" w:hAnsi="仿宋" w:eastAsia="仿宋" w:cs="宋体"/>
          <w:bCs/>
          <w:sz w:val="28"/>
          <w:szCs w:val="28"/>
        </w:rPr>
        <w:t>6、成交供应商拒绝与采购人签订合同的，采购人可以按照评审报告推荐的成交候选人名单排序，确定下一候选人为成交供应商，也可以重新开展采购活动。</w:t>
      </w: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rPr>
          <w:rFonts w:ascii="仿宋" w:hAnsi="仿宋" w:eastAsia="仿宋" w:cs="宋体"/>
          <w:bCs/>
          <w:sz w:val="28"/>
          <w:szCs w:val="28"/>
        </w:rPr>
      </w:pPr>
    </w:p>
    <w:p>
      <w:pPr>
        <w:spacing w:line="360" w:lineRule="auto"/>
        <w:jc w:val="center"/>
        <w:rPr>
          <w:rFonts w:ascii="仿宋" w:hAnsi="仿宋" w:eastAsia="仿宋" w:cs="宋体"/>
          <w:b/>
          <w:bCs/>
          <w:sz w:val="32"/>
          <w:szCs w:val="28"/>
        </w:rPr>
      </w:pPr>
      <w:commentRangeStart w:id="0"/>
      <w:r>
        <w:rPr>
          <w:rFonts w:ascii="仿宋" w:hAnsi="仿宋" w:eastAsia="仿宋" w:cs="宋体"/>
          <w:b/>
          <w:bCs/>
          <w:sz w:val="32"/>
          <w:szCs w:val="28"/>
        </w:rPr>
        <w:t>评分标准</w:t>
      </w:r>
      <w:commentRangeEnd w:id="0"/>
      <w:r>
        <w:commentReference w:id="0"/>
      </w:r>
    </w:p>
    <w:tbl>
      <w:tblPr>
        <w:tblStyle w:val="10"/>
        <w:tblpPr w:leftFromText="180" w:rightFromText="180" w:vertAnchor="page" w:horzAnchor="page" w:tblpX="1878" w:tblpY="2310"/>
        <w:tblW w:w="8421" w:type="dxa"/>
        <w:tblInd w:w="0" w:type="dxa"/>
        <w:tblLayout w:type="fixed"/>
        <w:tblCellMar>
          <w:top w:w="0" w:type="dxa"/>
          <w:left w:w="57" w:type="dxa"/>
          <w:bottom w:w="0" w:type="dxa"/>
          <w:right w:w="57" w:type="dxa"/>
        </w:tblCellMar>
      </w:tblPr>
      <w:tblGrid>
        <w:gridCol w:w="959"/>
        <w:gridCol w:w="1388"/>
        <w:gridCol w:w="5507"/>
        <w:gridCol w:w="567"/>
      </w:tblGrid>
      <w:tr>
        <w:tblPrEx>
          <w:tblCellMar>
            <w:top w:w="0" w:type="dxa"/>
            <w:left w:w="57" w:type="dxa"/>
            <w:bottom w:w="0" w:type="dxa"/>
            <w:right w:w="57" w:type="dxa"/>
          </w:tblCellMar>
        </w:tblPrEx>
        <w:trPr>
          <w:trHeight w:val="418"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内容</w:t>
            </w:r>
          </w:p>
        </w:tc>
        <w:tc>
          <w:tcPr>
            <w:tcW w:w="1388"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评分因素分项</w:t>
            </w:r>
          </w:p>
        </w:tc>
        <w:tc>
          <w:tcPr>
            <w:tcW w:w="5507"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评分标准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分值</w:t>
            </w:r>
          </w:p>
        </w:tc>
      </w:tr>
      <w:tr>
        <w:tblPrEx>
          <w:tblCellMar>
            <w:top w:w="0" w:type="dxa"/>
            <w:left w:w="57" w:type="dxa"/>
            <w:bottom w:w="0" w:type="dxa"/>
            <w:right w:w="57" w:type="dxa"/>
          </w:tblCellMar>
        </w:tblPrEx>
        <w:trPr>
          <w:trHeight w:val="675" w:hRule="atLeast"/>
        </w:trPr>
        <w:tc>
          <w:tcPr>
            <w:tcW w:w="959" w:type="dxa"/>
            <w:tcBorders>
              <w:top w:val="nil"/>
              <w:left w:val="single" w:color="auto" w:sz="4" w:space="0"/>
              <w:bottom w:val="single" w:color="auto" w:sz="4" w:space="0"/>
              <w:right w:val="nil"/>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价格部分（10分）</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价格（10分）</w:t>
            </w:r>
          </w:p>
        </w:tc>
        <w:tc>
          <w:tcPr>
            <w:tcW w:w="5507"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报价得分=（评审基准价/报价）×价格权值10</w:t>
            </w:r>
          </w:p>
          <w:p>
            <w:pPr>
              <w:widowControl/>
              <w:rPr>
                <w:rFonts w:ascii="仿宋" w:hAnsi="仿宋" w:eastAsia="仿宋" w:cs="宋体"/>
                <w:kern w:val="0"/>
                <w:sz w:val="18"/>
                <w:szCs w:val="18"/>
              </w:rPr>
            </w:pPr>
            <w:r>
              <w:rPr>
                <w:rFonts w:hint="eastAsia" w:ascii="仿宋" w:hAnsi="仿宋" w:eastAsia="仿宋" w:cs="宋体"/>
                <w:kern w:val="0"/>
                <w:sz w:val="18"/>
                <w:szCs w:val="18"/>
              </w:rPr>
              <w:t>注：实质性响应遴选文件要求且价格最低的报价为评审基准价。</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CellMar>
            <w:top w:w="0" w:type="dxa"/>
            <w:left w:w="57" w:type="dxa"/>
            <w:bottom w:w="0" w:type="dxa"/>
            <w:right w:w="57" w:type="dxa"/>
          </w:tblCellMar>
        </w:tblPrEx>
        <w:trPr>
          <w:trHeight w:val="525" w:hRule="atLeast"/>
        </w:trPr>
        <w:tc>
          <w:tcPr>
            <w:tcW w:w="9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商务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（25分）</w:t>
            </w:r>
          </w:p>
        </w:tc>
        <w:tc>
          <w:tcPr>
            <w:tcW w:w="138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供应商基本情况</w:t>
            </w:r>
          </w:p>
        </w:tc>
        <w:tc>
          <w:tcPr>
            <w:tcW w:w="550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供应商资质情况良好（承担专业资质等）得5分。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注：供应商需提供相关证明材料，否则不予认可。</w:t>
            </w:r>
          </w:p>
        </w:tc>
        <w:tc>
          <w:tcPr>
            <w:tcW w:w="567" w:type="dxa"/>
            <w:tcBorders>
              <w:top w:val="nil"/>
              <w:left w:val="nil"/>
              <w:bottom w:val="single" w:color="auto" w:sz="4" w:space="0"/>
              <w:right w:val="single" w:color="auto" w:sz="4" w:space="0"/>
            </w:tcBorders>
            <w:vAlign w:val="center"/>
          </w:tcPr>
          <w:p>
            <w:pPr>
              <w:widowControl/>
              <w:ind w:left="1" w:leftChars="-60" w:hanging="127" w:hangingChars="71"/>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57" w:type="dxa"/>
            <w:bottom w:w="0" w:type="dxa"/>
            <w:right w:w="57" w:type="dxa"/>
          </w:tblCellMar>
        </w:tblPrEx>
        <w:trPr>
          <w:trHeight w:val="1035" w:hRule="atLeast"/>
        </w:trPr>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8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供应商的业绩</w:t>
            </w:r>
          </w:p>
        </w:tc>
        <w:tc>
          <w:tcPr>
            <w:tcW w:w="55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供应商近三年（2021年1月起至本采购活动遴选公告发布前（以合同签订日期为准））承接过类似服务业绩，每提供1个业绩得5分，最多得20分。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注：需提供业绩合同或协议复印件并加盖公章，如无材料证明或证明材料不完整，上述内容将视为零分。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CellMar>
            <w:top w:w="0" w:type="dxa"/>
            <w:left w:w="57" w:type="dxa"/>
            <w:bottom w:w="0" w:type="dxa"/>
            <w:right w:w="57" w:type="dxa"/>
          </w:tblCellMar>
        </w:tblPrEx>
        <w:trPr>
          <w:trHeight w:val="810" w:hRule="atLeast"/>
        </w:trPr>
        <w:tc>
          <w:tcPr>
            <w:tcW w:w="9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技术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（65分）</w:t>
            </w:r>
          </w:p>
        </w:tc>
        <w:tc>
          <w:tcPr>
            <w:tcW w:w="138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项目方案</w:t>
            </w:r>
          </w:p>
        </w:tc>
        <w:tc>
          <w:tcPr>
            <w:tcW w:w="55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整体方案设计及工作流程计划：</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完善、合理，具有针对性，科学性、可操作性强，进度安排最合理高效，能够完全满足采购人需求得16-20分；方案基本完整、合理，针对性、可操作性一般，进度安排基本满足需求得9-15分；方案一般，较简单，得4-8分；方案粗略、较差得1-3分，不提供得0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CellMar>
            <w:top w:w="0" w:type="dxa"/>
            <w:left w:w="57" w:type="dxa"/>
            <w:bottom w:w="0" w:type="dxa"/>
            <w:right w:w="57" w:type="dxa"/>
          </w:tblCellMar>
        </w:tblPrEx>
        <w:trPr>
          <w:trHeight w:val="810" w:hRule="atLeast"/>
        </w:trPr>
        <w:tc>
          <w:tcPr>
            <w:tcW w:w="959" w:type="dxa"/>
            <w:vMerge w:val="continue"/>
            <w:tcBorders>
              <w:left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38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需求理解</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和分析</w:t>
            </w:r>
          </w:p>
        </w:tc>
        <w:tc>
          <w:tcPr>
            <w:tcW w:w="55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投标人对本项目的背景、工作内容、建设目标，以及重点、难点、关键点等的理解程度及相关分析情况：</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需求分析内容完整、分析透彻、理解项目管理要求，按项目特点找到重点难点问题并提出完善解决方案，得5分；提供了通用、简单的分析理解，基本符合采购需求，或理解程度不够深入，得3分；需求分析内容有偏差、未理解项目工作要求，得0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57" w:type="dxa"/>
            <w:bottom w:w="0" w:type="dxa"/>
            <w:right w:w="57" w:type="dxa"/>
          </w:tblCellMar>
        </w:tblPrEx>
        <w:trPr>
          <w:trHeight w:val="2415" w:hRule="atLeast"/>
        </w:trPr>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8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项目人员配备方案</w:t>
            </w:r>
          </w:p>
        </w:tc>
        <w:tc>
          <w:tcPr>
            <w:tcW w:w="5507" w:type="dxa"/>
            <w:tcBorders>
              <w:top w:val="nil"/>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1、方案内容进行了详细的阐述，贴合项目实际情况；为本项目配备的人员充足、配置合理，项目负责人熟悉本项目所涉险种、经验丰富、业务能力强，完全满足项目需求，得11-15分；</w:t>
            </w:r>
          </w:p>
          <w:p>
            <w:pPr>
              <w:widowControl/>
              <w:rPr>
                <w:rFonts w:ascii="仿宋" w:hAnsi="仿宋" w:eastAsia="仿宋" w:cs="宋体"/>
                <w:kern w:val="0"/>
                <w:sz w:val="18"/>
                <w:szCs w:val="18"/>
              </w:rPr>
            </w:pPr>
            <w:r>
              <w:rPr>
                <w:rFonts w:hint="eastAsia" w:ascii="仿宋" w:hAnsi="仿宋" w:eastAsia="仿宋" w:cs="宋体"/>
                <w:kern w:val="0"/>
                <w:sz w:val="18"/>
                <w:szCs w:val="18"/>
              </w:rPr>
              <w:t>2、方案内容虽进行阐述，但配备的人员并未紧密贴合项目实际需求，得6-10分；</w:t>
            </w:r>
          </w:p>
          <w:p>
            <w:pPr>
              <w:widowControl/>
              <w:rPr>
                <w:rFonts w:ascii="仿宋" w:hAnsi="仿宋" w:eastAsia="仿宋" w:cs="宋体"/>
                <w:kern w:val="0"/>
                <w:sz w:val="18"/>
                <w:szCs w:val="18"/>
              </w:rPr>
            </w:pPr>
            <w:r>
              <w:rPr>
                <w:rFonts w:hint="eastAsia" w:ascii="仿宋" w:hAnsi="仿宋" w:eastAsia="仿宋" w:cs="宋体"/>
                <w:kern w:val="0"/>
                <w:sz w:val="18"/>
                <w:szCs w:val="18"/>
              </w:rPr>
              <w:t>3、方案内容虽进行阐述但为本项目配备的人员不充足，配置不合理，距项目需求差距较大，得1-5分；</w:t>
            </w:r>
          </w:p>
          <w:p>
            <w:pPr>
              <w:widowControl/>
              <w:rPr>
                <w:rFonts w:ascii="仿宋" w:hAnsi="仿宋" w:eastAsia="仿宋" w:cs="宋体"/>
                <w:kern w:val="0"/>
                <w:sz w:val="18"/>
                <w:szCs w:val="18"/>
              </w:rPr>
            </w:pPr>
            <w:r>
              <w:rPr>
                <w:rFonts w:hint="eastAsia" w:ascii="仿宋" w:hAnsi="仿宋" w:eastAsia="仿宋" w:cs="宋体"/>
                <w:kern w:val="0"/>
                <w:sz w:val="18"/>
                <w:szCs w:val="18"/>
              </w:rPr>
              <w:t>4、方案内容未进行任何阐述或不满足项目需求，得 0 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r>
      <w:tr>
        <w:tblPrEx>
          <w:tblCellMar>
            <w:top w:w="0" w:type="dxa"/>
            <w:left w:w="57" w:type="dxa"/>
            <w:bottom w:w="0" w:type="dxa"/>
            <w:right w:w="57" w:type="dxa"/>
          </w:tblCellMar>
        </w:tblPrEx>
        <w:trPr>
          <w:trHeight w:val="810" w:hRule="atLeast"/>
        </w:trPr>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8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质量保证措施</w:t>
            </w:r>
          </w:p>
        </w:tc>
        <w:tc>
          <w:tcPr>
            <w:tcW w:w="550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对项目管理、质量保证制度和承诺进行阐述，有具体方案及措施描述，完全贴合项目需求得11-15分；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对项目管理、质量保证制度和承诺进行阐述，贴合项目需求，但缺少具体方案及措施描述得6-10分；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对项目管理、质量保证制度和承诺，部分贴合项目需求，得1-5 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未提供得0分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r>
      <w:tr>
        <w:tblPrEx>
          <w:tblCellMar>
            <w:top w:w="0" w:type="dxa"/>
            <w:left w:w="57" w:type="dxa"/>
            <w:bottom w:w="0" w:type="dxa"/>
            <w:right w:w="57" w:type="dxa"/>
          </w:tblCellMar>
        </w:tblPrEx>
        <w:trPr>
          <w:trHeight w:val="900" w:hRule="atLeast"/>
        </w:trPr>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8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服务承诺</w:t>
            </w:r>
          </w:p>
        </w:tc>
        <w:tc>
          <w:tcPr>
            <w:tcW w:w="5507" w:type="dxa"/>
            <w:tcBorders>
              <w:top w:val="nil"/>
              <w:left w:val="nil"/>
              <w:bottom w:val="single" w:color="auto" w:sz="4" w:space="0"/>
              <w:right w:val="single" w:color="auto" w:sz="4" w:space="0"/>
            </w:tcBorders>
            <w:vAlign w:val="center"/>
          </w:tcPr>
          <w:p>
            <w:pPr>
              <w:widowControl/>
              <w:jc w:val="left"/>
              <w:rPr>
                <w:rFonts w:ascii="仿宋" w:hAnsi="仿宋" w:eastAsia="仿宋"/>
                <w:kern w:val="0"/>
                <w:sz w:val="18"/>
                <w:szCs w:val="18"/>
              </w:rPr>
            </w:pPr>
            <w:r>
              <w:rPr>
                <w:rFonts w:hint="eastAsia" w:ascii="仿宋" w:hAnsi="仿宋" w:eastAsia="仿宋"/>
                <w:kern w:val="0"/>
                <w:sz w:val="18"/>
                <w:szCs w:val="18"/>
              </w:rPr>
              <w:t>供应商须提供沟通机制，内容包括①服务人员安排②沟通方案，要求有专人定期沟通，配合。优秀的，得</w:t>
            </w:r>
            <w:r>
              <w:rPr>
                <w:rFonts w:ascii="仿宋" w:hAnsi="仿宋" w:eastAsia="仿宋"/>
                <w:kern w:val="0"/>
                <w:sz w:val="18"/>
                <w:szCs w:val="18"/>
              </w:rPr>
              <w:t>7-10</w:t>
            </w:r>
            <w:r>
              <w:rPr>
                <w:rFonts w:hint="eastAsia" w:ascii="仿宋" w:hAnsi="仿宋" w:eastAsia="仿宋"/>
                <w:kern w:val="0"/>
                <w:sz w:val="18"/>
                <w:szCs w:val="18"/>
              </w:rPr>
              <w:t>分；良好的，得</w:t>
            </w:r>
            <w:r>
              <w:rPr>
                <w:rFonts w:ascii="仿宋" w:hAnsi="仿宋" w:eastAsia="仿宋"/>
                <w:kern w:val="0"/>
                <w:sz w:val="18"/>
                <w:szCs w:val="18"/>
              </w:rPr>
              <w:t>4-6</w:t>
            </w:r>
            <w:r>
              <w:rPr>
                <w:rFonts w:hint="eastAsia" w:ascii="仿宋" w:hAnsi="仿宋" w:eastAsia="仿宋"/>
                <w:kern w:val="0"/>
                <w:sz w:val="18"/>
                <w:szCs w:val="18"/>
              </w:rPr>
              <w:t>分；一般的，得</w:t>
            </w:r>
            <w:r>
              <w:rPr>
                <w:rFonts w:ascii="仿宋" w:hAnsi="仿宋" w:eastAsia="仿宋"/>
                <w:kern w:val="0"/>
                <w:sz w:val="18"/>
                <w:szCs w:val="18"/>
              </w:rPr>
              <w:t>1-3</w:t>
            </w:r>
            <w:r>
              <w:rPr>
                <w:rFonts w:hint="eastAsia" w:ascii="仿宋" w:hAnsi="仿宋" w:eastAsia="仿宋"/>
                <w:kern w:val="0"/>
                <w:sz w:val="18"/>
                <w:szCs w:val="18"/>
              </w:rPr>
              <w:t>分；较差的，得</w:t>
            </w:r>
            <w:r>
              <w:rPr>
                <w:rFonts w:ascii="仿宋" w:hAnsi="仿宋" w:eastAsia="仿宋"/>
                <w:kern w:val="0"/>
                <w:sz w:val="18"/>
                <w:szCs w:val="18"/>
              </w:rPr>
              <w:t>0</w:t>
            </w:r>
            <w:r>
              <w:rPr>
                <w:rFonts w:hint="eastAsia" w:ascii="仿宋" w:hAnsi="仿宋" w:eastAsia="仿宋"/>
                <w:kern w:val="0"/>
                <w:sz w:val="18"/>
                <w:szCs w:val="18"/>
              </w:rPr>
              <w:t>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CellMar>
            <w:top w:w="0" w:type="dxa"/>
            <w:left w:w="57" w:type="dxa"/>
            <w:bottom w:w="0" w:type="dxa"/>
            <w:right w:w="57" w:type="dxa"/>
          </w:tblCellMar>
        </w:tblPrEx>
        <w:trPr>
          <w:trHeight w:val="491" w:hRule="atLeast"/>
        </w:trPr>
        <w:tc>
          <w:tcPr>
            <w:tcW w:w="785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总分</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r>
    </w:tbl>
    <w:p>
      <w:pPr>
        <w:rPr>
          <w:rFonts w:hint="eastAsia" w:ascii="仿宋" w:hAnsi="仿宋" w:eastAsia="仿宋" w:cs="宋体"/>
          <w:b/>
          <w:bCs/>
          <w:sz w:val="10"/>
          <w:szCs w:val="10"/>
        </w:rPr>
      </w:pPr>
    </w:p>
    <w:sectPr>
      <w:pgSz w:w="11906" w:h="16838"/>
      <w:pgMar w:top="1440" w:right="1797" w:bottom="1440" w:left="179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4-02-22T16:02:00Z" w:initials="a">
    <w:p w14:paraId="48230029">
      <w:pPr>
        <w:pStyle w:val="2"/>
      </w:pPr>
      <w:r>
        <w:rPr>
          <w:rFonts w:hint="eastAsia"/>
        </w:rPr>
        <w:t>仅供参考，应根据各项目需求进行修改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ODU0NjQ5ZjQ0NWEwM2Y5NDA5NmM4Y2MzMWMxZTYifQ=="/>
  </w:docVars>
  <w:rsids>
    <w:rsidRoot w:val="0099485C"/>
    <w:rsid w:val="000A22BF"/>
    <w:rsid w:val="00180201"/>
    <w:rsid w:val="00193EAA"/>
    <w:rsid w:val="001D2469"/>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8A3BCF"/>
    <w:rsid w:val="0099485C"/>
    <w:rsid w:val="00B33D64"/>
    <w:rsid w:val="00B927D3"/>
    <w:rsid w:val="00BA4C9E"/>
    <w:rsid w:val="00CA49E3"/>
    <w:rsid w:val="00D875C2"/>
    <w:rsid w:val="00DB1122"/>
    <w:rsid w:val="00DE7EC6"/>
    <w:rsid w:val="00FF1677"/>
    <w:rsid w:val="0185358B"/>
    <w:rsid w:val="28BA4A28"/>
    <w:rsid w:val="2A021EEC"/>
    <w:rsid w:val="473506D4"/>
    <w:rsid w:val="68954478"/>
    <w:rsid w:val="68A51AEC"/>
    <w:rsid w:val="7834054B"/>
    <w:rsid w:val="DFBA1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19"/>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envelope return"/>
    <w:basedOn w:val="1"/>
    <w:autoRedefine/>
    <w:unhideWhenUsed/>
    <w:qFormat/>
    <w:uiPriority w:val="0"/>
    <w:pPr>
      <w:snapToGrid w:val="0"/>
    </w:pPr>
    <w:rPr>
      <w:rFonts w:ascii="Arial" w:hAnsi="Arial"/>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unhideWhenUsed/>
    <w:qFormat/>
    <w:uiPriority w:val="99"/>
    <w:rPr>
      <w:b/>
      <w:bCs/>
    </w:rPr>
  </w:style>
  <w:style w:type="paragraph" w:styleId="9">
    <w:name w:val="Body Text First Indent 2"/>
    <w:basedOn w:val="3"/>
    <w:next w:val="1"/>
    <w:autoRedefine/>
    <w:qFormat/>
    <w:uiPriority w:val="0"/>
    <w:pPr>
      <w:ind w:firstLine="420" w:firstLineChars="200"/>
    </w:pPr>
  </w:style>
  <w:style w:type="character" w:styleId="12">
    <w:name w:val="annotation reference"/>
    <w:basedOn w:val="11"/>
    <w:autoRedefine/>
    <w:unhideWhenUsed/>
    <w:qFormat/>
    <w:uiPriority w:val="99"/>
    <w:rPr>
      <w:sz w:val="21"/>
      <w:szCs w:val="21"/>
    </w:rPr>
  </w:style>
  <w:style w:type="paragraph" w:customStyle="1" w:styleId="13">
    <w:name w:val="列表段落1"/>
    <w:basedOn w:val="1"/>
    <w:link w:val="16"/>
    <w:autoRedefine/>
    <w:qFormat/>
    <w:uiPriority w:val="34"/>
    <w:pPr>
      <w:ind w:firstLine="420" w:firstLineChars="200"/>
    </w:p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列出段落 Char"/>
    <w:link w:val="13"/>
    <w:autoRedefine/>
    <w:qFormat/>
    <w:uiPriority w:val="34"/>
    <w:rPr>
      <w:rFonts w:ascii="Calibri" w:hAnsi="Calibri"/>
    </w:rPr>
  </w:style>
  <w:style w:type="character" w:customStyle="1" w:styleId="17">
    <w:name w:val="批注文字 字符"/>
    <w:basedOn w:val="11"/>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1"/>
    <w:link w:val="4"/>
    <w:autoRedefine/>
    <w:semiHidden/>
    <w:qFormat/>
    <w:uiPriority w:val="99"/>
    <w:rPr>
      <w:sz w:val="18"/>
      <w:szCs w:val="18"/>
    </w:rPr>
  </w:style>
  <w:style w:type="paragraph" w:customStyle="1" w:styleId="20">
    <w:name w:val="正文表格"/>
    <w:basedOn w:val="1"/>
    <w:autoRedefine/>
    <w:qFormat/>
    <w:uiPriority w:val="0"/>
    <w:pPr>
      <w:adjustRightInd w:val="0"/>
      <w:snapToGrid w:val="0"/>
      <w:jc w:val="left"/>
    </w:pPr>
    <w:rPr>
      <w:rFonts w:ascii="宋体" w:hAnsi="宋体"/>
      <w:color w:val="00000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290</Words>
  <Characters>1656</Characters>
  <Lines>13</Lines>
  <Paragraphs>3</Paragraphs>
  <TotalTime>21</TotalTime>
  <ScaleCrop>false</ScaleCrop>
  <LinksUpToDate>false</LinksUpToDate>
  <CharactersWithSpaces>1943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2022-04-18T20:00:00Z</dcterms:created>
  <dc:creator>强文晓</dc:creator>
  <cp:lastModifiedBy>王乔</cp:lastModifiedBy>
  <dcterms:modified xsi:type="dcterms:W3CDTF">2024-04-11T03:43:22Z</dcterms:modified>
  <dc:title>申请人须知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C7FD7E497E544EA78F0EE041557A40BF_13</vt:lpwstr>
  </property>
</Properties>
</file>