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方正黑体_GBK" w:cs="方正黑体_GBK" w:eastAsia="方正黑体_GBK" w:hAnsi="方正黑体_GBK" w:hint="eastAsia"/>
          <w:b w:val="false"/>
          <w:bCs w:val="false"/>
          <w:sz w:val="32"/>
          <w:szCs w:val="28"/>
          <w:lang w:val="en-US" w:eastAsia="zh-CN"/>
        </w:rPr>
      </w:pPr>
      <w:bookmarkStart w:id="0" w:name="_GoBack"/>
      <w:bookmarkEnd w:id="0"/>
      <w:r>
        <w:rPr>
          <w:rFonts w:ascii="方正黑体_GBK" w:cs="方正黑体_GBK" w:eastAsia="方正黑体_GBK" w:hAnsi="方正黑体_GBK" w:hint="eastAsia"/>
          <w:b w:val="false"/>
          <w:bCs w:val="false"/>
          <w:sz w:val="32"/>
          <w:szCs w:val="28"/>
          <w:lang w:eastAsia="zh-CN"/>
        </w:rPr>
        <w:t>附件</w:t>
      </w:r>
      <w:r>
        <w:rPr>
          <w:rFonts w:ascii="方正黑体_GBK" w:cs="方正黑体_GBK" w:eastAsia="方正黑体_GBK" w:hAnsi="方正黑体_GBK" w:hint="eastAsia"/>
          <w:b w:val="false"/>
          <w:bCs w:val="false"/>
          <w:sz w:val="32"/>
          <w:szCs w:val="28"/>
          <w:lang w:val="en-US" w:eastAsia="zh-CN"/>
        </w:rPr>
        <w:t>1</w:t>
      </w:r>
    </w:p>
    <w:p>
      <w:pPr>
        <w:pStyle w:val="style0"/>
        <w:spacing w:lineRule="auto" w:line="360"/>
        <w:jc w:val="center"/>
        <w:rPr>
          <w:rFonts w:ascii="仿宋" w:cs="宋体" w:eastAsia="仿宋" w:hAnsi="仿宋"/>
          <w:b/>
          <w:bCs/>
          <w:sz w:val="32"/>
          <w:szCs w:val="28"/>
        </w:rPr>
      </w:pPr>
      <w:r>
        <w:rPr>
          <w:rFonts w:ascii="仿宋" w:cs="宋体" w:eastAsia="仿宋" w:hAnsi="仿宋"/>
          <w:b/>
          <w:bCs/>
          <w:sz w:val="32"/>
          <w:szCs w:val="28"/>
        </w:rPr>
        <w:t>申请人须知</w:t>
      </w:r>
    </w:p>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bCs/>
          <w:sz w:val="28"/>
          <w:szCs w:val="28"/>
        </w:rPr>
      </w:pPr>
      <w:r>
        <w:rPr>
          <w:rFonts w:ascii="仿宋" w:cs="宋体" w:eastAsia="仿宋" w:hAnsi="仿宋" w:hint="eastAsia"/>
          <w:bCs/>
          <w:sz w:val="28"/>
          <w:szCs w:val="28"/>
        </w:rPr>
        <w:t>1、遴选响应文件签署和盖章要求：遴选响应文件需打印或用不退色墨水书写，由申请人的法定代表人或其授权代表在遴选文件规定的地方签字，并进行逐页盖章或加盖骑缝章。</w:t>
      </w:r>
    </w:p>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b/>
          <w:bCs/>
          <w:sz w:val="28"/>
          <w:szCs w:val="28"/>
        </w:rPr>
      </w:pPr>
      <w:r>
        <w:rPr>
          <w:rFonts w:ascii="仿宋" w:cs="宋体" w:eastAsia="仿宋" w:hAnsi="仿宋" w:hint="eastAsia"/>
          <w:bCs/>
          <w:sz w:val="28"/>
          <w:szCs w:val="28"/>
        </w:rPr>
        <w:t>2、遴选小组对申请人的遴选响应文件进行商务审查，以确定其是否满足遴选文件的实质性要求，并形成商务审查结果。申请人有任何一项不符合《商务审查表》要求的，</w:t>
      </w:r>
      <w:r>
        <w:rPr>
          <w:rFonts w:ascii="仿宋" w:cs="宋体" w:eastAsia="仿宋" w:hAnsi="仿宋" w:hint="eastAsia"/>
          <w:b/>
          <w:bCs/>
          <w:sz w:val="28"/>
          <w:szCs w:val="28"/>
        </w:rPr>
        <w:t>遴选响应无效。</w:t>
      </w:r>
    </w:p>
    <w:p>
      <w:pPr>
        <w:pStyle w:val="style0"/>
        <w:spacing w:lineRule="auto" w:line="360"/>
        <w:jc w:val="center"/>
        <w:rPr>
          <w:rFonts w:ascii="仿宋" w:cs="宋体" w:eastAsia="仿宋" w:hAnsi="仿宋"/>
          <w:bCs/>
          <w:sz w:val="28"/>
          <w:szCs w:val="28"/>
        </w:rPr>
      </w:pPr>
      <w:r>
        <w:rPr>
          <w:rFonts w:ascii="仿宋" w:cs="宋体" w:eastAsia="仿宋" w:hAnsi="仿宋" w:hint="eastAsia"/>
          <w:bCs/>
          <w:sz w:val="28"/>
          <w:szCs w:val="28"/>
        </w:rPr>
        <w:t>商务审查表</w:t>
      </w:r>
    </w:p>
    <w:tbl>
      <w:tblPr>
        <w:tblStyle w:val="style105"/>
        <w:tblW w:w="8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102"/>
        <w:gridCol w:w="4042"/>
        <w:gridCol w:w="3384"/>
      </w:tblGrid>
      <w:tr>
        <w:trPr>
          <w:trHeight w:val="840" w:hRule="atLeast"/>
        </w:trPr>
        <w:tc>
          <w:tcPr>
            <w:tcW w:w="1102" w:type="dxa"/>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序号</w:t>
            </w:r>
          </w:p>
        </w:tc>
        <w:tc>
          <w:tcPr>
            <w:tcW w:w="7426" w:type="dxa"/>
            <w:gridSpan w:val="2"/>
            <w:tcBorders>
              <w:top w:val="single" w:sz="4" w:space="0" w:color="auto"/>
              <w:left w:val="nil"/>
              <w:bottom w:val="single" w:sz="4" w:space="0" w:color="auto"/>
              <w:right w:val="single" w:sz="4" w:space="0" w:color="auto"/>
            </w:tcBorders>
            <w:vAlign w:val="center"/>
          </w:tcPr>
          <w:p>
            <w:pPr>
              <w:pStyle w:val="style0"/>
              <w:widowControl/>
              <w:jc w:val="center"/>
              <w:rPr>
                <w:rFonts w:ascii="仿宋" w:eastAsia="仿宋" w:hAnsi="仿宋"/>
                <w:kern w:val="0"/>
                <w:sz w:val="20"/>
                <w:szCs w:val="20"/>
              </w:rPr>
            </w:pPr>
            <w:r>
              <w:rPr>
                <w:rFonts w:ascii="仿宋" w:cs="宋体" w:eastAsia="仿宋" w:hAnsi="仿宋" w:hint="eastAsia"/>
                <w:kern w:val="0"/>
                <w:sz w:val="28"/>
                <w:szCs w:val="28"/>
              </w:rPr>
              <w:t>审查内容</w:t>
            </w:r>
          </w:p>
        </w:tc>
      </w:tr>
      <w:tr>
        <w:tblPrEx/>
        <w:trPr>
          <w:trHeight w:val="668" w:hRule="atLeast"/>
        </w:trPr>
        <w:tc>
          <w:tcPr>
            <w:tcW w:w="1102" w:type="dxa"/>
            <w:tcBorders>
              <w:top w:val="nil"/>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1</w:t>
            </w:r>
          </w:p>
        </w:tc>
        <w:tc>
          <w:tcPr>
            <w:tcW w:w="7426" w:type="dxa"/>
            <w:gridSpan w:val="2"/>
            <w:tcBorders>
              <w:top w:val="nil"/>
              <w:left w:val="single" w:sz="4" w:space="0" w:color="000000"/>
              <w:bottom w:val="single" w:sz="4" w:space="0" w:color="000000"/>
              <w:right w:val="single" w:sz="4" w:space="0" w:color="auto"/>
            </w:tcBorders>
            <w:vAlign w:val="center"/>
          </w:tcPr>
          <w:p>
            <w:pPr>
              <w:pStyle w:val="style0"/>
              <w:widowControl/>
              <w:jc w:val="left"/>
              <w:rPr>
                <w:rFonts w:ascii="仿宋" w:cs="宋体" w:eastAsia="仿宋" w:hAnsi="仿宋"/>
                <w:kern w:val="0"/>
                <w:sz w:val="28"/>
                <w:szCs w:val="28"/>
              </w:rPr>
            </w:pPr>
            <w:r>
              <w:rPr>
                <w:rFonts w:ascii="仿宋" w:cs="宋体" w:eastAsia="仿宋" w:hAnsi="仿宋" w:hint="eastAsia"/>
                <w:kern w:val="0"/>
                <w:sz w:val="28"/>
                <w:szCs w:val="28"/>
              </w:rPr>
              <w:t>遴选报价是否超过遴选文件规定预算金额</w:t>
            </w:r>
          </w:p>
        </w:tc>
      </w:tr>
      <w:tr>
        <w:tblPrEx/>
        <w:trPr>
          <w:trHeight w:val="706" w:hRule="atLeast"/>
        </w:trPr>
        <w:tc>
          <w:tcPr>
            <w:tcW w:w="1102" w:type="dxa"/>
            <w:tcBorders>
              <w:top w:val="nil"/>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2</w:t>
            </w:r>
          </w:p>
        </w:tc>
        <w:tc>
          <w:tcPr>
            <w:tcW w:w="7426" w:type="dxa"/>
            <w:gridSpan w:val="2"/>
            <w:tcBorders>
              <w:top w:val="nil"/>
              <w:left w:val="single" w:sz="4" w:space="0" w:color="000000"/>
              <w:bottom w:val="single" w:sz="4" w:space="0" w:color="000000"/>
              <w:right w:val="single" w:sz="4" w:space="0" w:color="auto"/>
            </w:tcBorders>
            <w:vAlign w:val="center"/>
          </w:tcPr>
          <w:p>
            <w:pPr>
              <w:pStyle w:val="style0"/>
              <w:widowControl/>
              <w:jc w:val="left"/>
              <w:rPr>
                <w:rFonts w:ascii="仿宋" w:cs="宋体" w:eastAsia="仿宋" w:hAnsi="仿宋"/>
                <w:kern w:val="0"/>
                <w:sz w:val="28"/>
                <w:szCs w:val="28"/>
              </w:rPr>
            </w:pPr>
            <w:r>
              <w:rPr>
                <w:rFonts w:ascii="仿宋" w:cs="宋体" w:eastAsia="仿宋" w:hAnsi="仿宋" w:hint="eastAsia"/>
                <w:kern w:val="0"/>
                <w:sz w:val="28"/>
                <w:szCs w:val="28"/>
              </w:rPr>
              <w:t>遴选文件的签署、盖章是否合格</w:t>
            </w:r>
          </w:p>
        </w:tc>
      </w:tr>
      <w:tr>
        <w:tblPrEx/>
        <w:trPr>
          <w:trHeight w:val="830" w:hRule="atLeast"/>
        </w:trPr>
        <w:tc>
          <w:tcPr>
            <w:tcW w:w="1102" w:type="dxa"/>
            <w:tcBorders>
              <w:top w:val="nil"/>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3</w:t>
            </w:r>
          </w:p>
        </w:tc>
        <w:tc>
          <w:tcPr>
            <w:tcW w:w="7426" w:type="dxa"/>
            <w:gridSpan w:val="2"/>
            <w:tcBorders>
              <w:top w:val="nil"/>
              <w:left w:val="single" w:sz="4" w:space="0" w:color="auto"/>
              <w:bottom w:val="single" w:sz="4" w:space="0" w:color="auto"/>
              <w:right w:val="single" w:sz="4" w:space="0" w:color="auto"/>
            </w:tcBorders>
            <w:vAlign w:val="center"/>
          </w:tcPr>
          <w:p>
            <w:pPr>
              <w:pStyle w:val="style0"/>
              <w:widowControl/>
              <w:jc w:val="left"/>
              <w:rPr>
                <w:rFonts w:ascii="仿宋" w:cs="宋体" w:eastAsia="仿宋" w:hAnsi="仿宋"/>
                <w:kern w:val="0"/>
                <w:sz w:val="28"/>
                <w:szCs w:val="28"/>
              </w:rPr>
            </w:pPr>
            <w:r>
              <w:rPr>
                <w:rFonts w:ascii="仿宋" w:cs="宋体" w:eastAsia="仿宋" w:hAnsi="仿宋" w:hint="eastAsia"/>
                <w:kern w:val="0"/>
                <w:sz w:val="28"/>
                <w:szCs w:val="28"/>
              </w:rPr>
              <w:t>是否提供满足遴选文件中要求的申请人资格要求的承诺函</w:t>
            </w:r>
          </w:p>
        </w:tc>
      </w:tr>
      <w:tr>
        <w:tblPrEx/>
        <w:trPr>
          <w:trHeight w:val="765" w:hRule="atLeast"/>
        </w:trPr>
        <w:tc>
          <w:tcPr>
            <w:tcW w:w="5144" w:type="dxa"/>
            <w:gridSpan w:val="2"/>
            <w:tcBorders>
              <w:top w:val="single" w:sz="4" w:space="0" w:color="auto"/>
              <w:left w:val="single" w:sz="4" w:space="0" w:color="auto"/>
              <w:bottom w:val="single" w:sz="4" w:space="0" w:color="auto"/>
              <w:right w:val="nil"/>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结论</w:t>
            </w:r>
          </w:p>
        </w:tc>
        <w:tc>
          <w:tcPr>
            <w:tcW w:w="3384" w:type="dxa"/>
            <w:tcBorders>
              <w:top w:val="nil"/>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28"/>
                <w:szCs w:val="28"/>
              </w:rPr>
            </w:pPr>
            <w:r>
              <w:rPr>
                <w:rFonts w:ascii="仿宋" w:cs="宋体" w:eastAsia="仿宋" w:hAnsi="仿宋" w:hint="eastAsia"/>
                <w:kern w:val="0"/>
                <w:sz w:val="28"/>
                <w:szCs w:val="28"/>
              </w:rPr>
              <w:t>合格/不合格</w:t>
            </w:r>
          </w:p>
        </w:tc>
      </w:tr>
    </w:tbl>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bCs/>
          <w:sz w:val="28"/>
          <w:szCs w:val="28"/>
        </w:rPr>
      </w:pPr>
      <w:r>
        <w:rPr>
          <w:rFonts w:ascii="仿宋" w:cs="宋体" w:eastAsia="仿宋" w:hAnsi="仿宋" w:hint="eastAsia"/>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hint="eastAsia"/>
          <w:bCs/>
          <w:sz w:val="28"/>
          <w:szCs w:val="28"/>
        </w:rPr>
        <w:sectPr>
          <w:pgSz w:w="11906" w:h="16838" w:orient="portrait"/>
          <w:pgMar w:top="1440" w:right="1797" w:bottom="1440" w:left="1797" w:header="851" w:footer="992" w:gutter="0"/>
          <w:pgNumType w:start="7"/>
          <w:cols w:space="720" w:num="1"/>
          <w:docGrid w:type="lines" w:linePitch="312" w:charSpace="0"/>
        </w:sectPr>
      </w:pPr>
      <w:r>
        <w:rPr>
          <w:rFonts w:ascii="仿宋" w:cs="宋体" w:eastAsia="仿宋" w:hAnsi="仿宋" w:hint="eastAsia"/>
          <w:bCs/>
          <w:sz w:val="28"/>
          <w:szCs w:val="28"/>
        </w:rPr>
        <w:t>4、本项目采用的评标方法为综合评分法。采用综合评分法时，评审</w:t>
      </w:r>
    </w:p>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bCs/>
          <w:sz w:val="28"/>
          <w:szCs w:val="28"/>
        </w:rPr>
      </w:pPr>
      <w:r>
        <w:rPr>
          <w:rFonts w:ascii="仿宋" w:cs="宋体" w:eastAsia="仿宋" w:hAnsi="仿宋" w:hint="eastAsia"/>
          <w:bCs/>
          <w:sz w:val="28"/>
          <w:szCs w:val="28"/>
        </w:rPr>
        <w:t>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ascii="仿宋" w:cs="宋体" w:eastAsia="仿宋" w:hAnsi="仿宋" w:hint="eastAsia"/>
          <w:bCs/>
          <w:color w:val="ff0000"/>
          <w:sz w:val="28"/>
          <w:szCs w:val="28"/>
        </w:rPr>
        <w:t>成交候选人</w:t>
      </w:r>
      <w:r>
        <w:rPr>
          <w:rFonts w:ascii="仿宋" w:cs="宋体" w:eastAsia="仿宋" w:hAnsi="仿宋" w:hint="eastAsia"/>
          <w:bCs/>
          <w:sz w:val="28"/>
          <w:szCs w:val="28"/>
        </w:rPr>
        <w:t>。</w:t>
      </w:r>
      <w:r>
        <w:rPr>
          <w:rFonts w:ascii="仿宋" w:cs="宋体" w:eastAsia="仿宋" w:hAnsi="仿宋" w:hint="eastAsia"/>
          <w:b/>
          <w:bCs/>
          <w:sz w:val="28"/>
          <w:szCs w:val="28"/>
        </w:rPr>
        <w:t>由各业务处室最终决定成交申请人。</w:t>
      </w:r>
      <w:r>
        <w:rPr>
          <w:rFonts w:ascii="仿宋" w:cs="宋体" w:eastAsia="仿宋" w:hAnsi="仿宋" w:hint="eastAsia"/>
          <w:bCs/>
          <w:sz w:val="28"/>
          <w:szCs w:val="28"/>
        </w:rPr>
        <w:t>评分分值计算保留小数点后两位，第三位四舍五入。</w:t>
      </w:r>
    </w:p>
    <w:p>
      <w:pPr>
        <w:pStyle w:val="style0"/>
        <w:widowControl w:val="false"/>
        <w:wordWrap/>
        <w:adjustRightInd/>
        <w:snapToGrid/>
        <w:spacing w:lineRule="exact" w:line="560"/>
        <w:ind w:left="0" w:leftChars="0" w:right="0" w:firstLine="0" w:firstLineChars="0"/>
        <w:jc w:val="both"/>
        <w:textAlignment w:val="auto"/>
        <w:outlineLvl w:val="9"/>
        <w:rPr>
          <w:rFonts w:ascii="仿宋" w:cs="宋体" w:eastAsia="仿宋" w:hAnsi="仿宋"/>
          <w:bCs/>
          <w:sz w:val="28"/>
          <w:szCs w:val="28"/>
        </w:rPr>
      </w:pPr>
      <w:r>
        <w:rPr>
          <w:rFonts w:ascii="仿宋" w:cs="宋体" w:eastAsia="仿宋" w:hAnsi="仿宋" w:hint="eastAsia"/>
          <w:bCs/>
          <w:sz w:val="28"/>
          <w:szCs w:val="28"/>
        </w:rPr>
        <w:t>5、成交供应商拒绝与采购人签订合同的，采购人可以按照评审报告推荐的成交候选人名单排序，确定下一候选人为成交供应商，也可以重新开展政府采购活动。</w:t>
      </w:r>
    </w:p>
    <w:p>
      <w:pPr>
        <w:pStyle w:val="style0"/>
        <w:widowControl/>
        <w:jc w:val="left"/>
        <w:rPr>
          <w:rFonts w:ascii="仿宋" w:cs="宋体" w:eastAsia="仿宋" w:hAnsi="仿宋"/>
          <w:bCs/>
          <w:sz w:val="28"/>
          <w:szCs w:val="28"/>
        </w:rPr>
      </w:pPr>
      <w:r>
        <w:rPr>
          <w:rFonts w:ascii="仿宋" w:cs="宋体" w:eastAsia="仿宋" w:hAnsi="仿宋"/>
          <w:bCs/>
          <w:sz w:val="28"/>
          <w:szCs w:val="28"/>
        </w:rPr>
        <w:br w:type="page"/>
      </w:r>
    </w:p>
    <w:tbl>
      <w:tblPr>
        <w:tblStyle w:val="style105"/>
        <w:tblpPr w:leftFromText="180" w:rightFromText="180" w:topFromText="0" w:bottomFromText="0" w:horzAnchor="margin" w:tblpXSpec="left" w:tblpY="786"/>
        <w:tblW w:w="8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03"/>
        <w:gridCol w:w="1344"/>
        <w:gridCol w:w="4798"/>
        <w:gridCol w:w="1383"/>
      </w:tblGrid>
      <w:tr>
        <w:trPr>
          <w:trHeight w:val="1305" w:hRule="atLeast"/>
        </w:trPr>
        <w:tc>
          <w:tcPr>
            <w:tcW w:w="1003" w:type="dxa"/>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内容</w:t>
            </w:r>
          </w:p>
        </w:tc>
        <w:tc>
          <w:tcPr>
            <w:tcW w:w="1344" w:type="dxa"/>
            <w:tcBorders>
              <w:top w:val="single" w:sz="4" w:space="0" w:color="auto"/>
              <w:left w:val="nil"/>
              <w:bottom w:val="nil"/>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评分因素分项</w:t>
            </w:r>
          </w:p>
        </w:tc>
        <w:tc>
          <w:tcPr>
            <w:tcW w:w="4798" w:type="dxa"/>
            <w:tcBorders>
              <w:top w:val="single" w:sz="4" w:space="0" w:color="auto"/>
              <w:left w:val="nil"/>
              <w:bottom w:val="nil"/>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评分标准</w:t>
            </w:r>
          </w:p>
        </w:tc>
        <w:tc>
          <w:tcPr>
            <w:tcW w:w="1383" w:type="dxa"/>
            <w:tcBorders>
              <w:top w:val="single" w:sz="4" w:space="0" w:color="auto"/>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分值</w:t>
            </w:r>
          </w:p>
        </w:tc>
      </w:tr>
      <w:tr>
        <w:tblPrEx/>
        <w:trPr>
          <w:trHeight w:val="675" w:hRule="atLeast"/>
        </w:trPr>
        <w:tc>
          <w:tcPr>
            <w:tcW w:w="1003" w:type="dxa"/>
            <w:tcBorders>
              <w:top w:val="nil"/>
              <w:left w:val="single" w:sz="4" w:space="0" w:color="auto"/>
              <w:bottom w:val="single" w:sz="4" w:space="0" w:color="auto"/>
              <w:right w:val="nil"/>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价格部分（10分）</w:t>
            </w:r>
          </w:p>
        </w:tc>
        <w:tc>
          <w:tcPr>
            <w:tcW w:w="1344" w:type="dxa"/>
            <w:tcBorders>
              <w:top w:val="single" w:sz="4" w:space="0" w:color="auto"/>
              <w:left w:val="single" w:sz="4" w:space="0" w:color="auto"/>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价格（10分）</w:t>
            </w:r>
          </w:p>
        </w:tc>
        <w:tc>
          <w:tcPr>
            <w:tcW w:w="4798" w:type="dxa"/>
            <w:tcBorders>
              <w:top w:val="single" w:sz="4" w:space="0" w:color="auto"/>
              <w:left w:val="nil"/>
              <w:bottom w:val="single" w:sz="4" w:space="0" w:color="auto"/>
              <w:right w:val="single" w:sz="4" w:space="0" w:color="auto"/>
            </w:tcBorders>
            <w:vAlign w:val="center"/>
          </w:tcPr>
          <w:p>
            <w:pPr>
              <w:pStyle w:val="style0"/>
              <w:widowControl/>
              <w:rPr>
                <w:rFonts w:ascii="仿宋" w:cs="宋体" w:eastAsia="仿宋" w:hAnsi="仿宋"/>
                <w:kern w:val="0"/>
                <w:sz w:val="18"/>
                <w:szCs w:val="18"/>
              </w:rPr>
            </w:pPr>
            <w:r>
              <w:rPr>
                <w:rFonts w:ascii="仿宋" w:cs="宋体" w:eastAsia="仿宋" w:hAnsi="仿宋" w:hint="eastAsia"/>
                <w:kern w:val="0"/>
                <w:sz w:val="18"/>
                <w:szCs w:val="18"/>
              </w:rPr>
              <w:t>报价得分=（评审基准价/报价）×价格权值10%×100</w:t>
            </w:r>
            <w:r>
              <w:rPr>
                <w:rFonts w:ascii="仿宋" w:cs="宋体" w:eastAsia="仿宋" w:hAnsi="仿宋" w:hint="eastAsia"/>
                <w:kern w:val="0"/>
                <w:sz w:val="18"/>
                <w:szCs w:val="18"/>
              </w:rPr>
              <w:br/>
            </w:r>
            <w:r>
              <w:rPr>
                <w:rFonts w:ascii="仿宋" w:cs="宋体" w:eastAsia="仿宋" w:hAnsi="仿宋" w:hint="eastAsia"/>
                <w:kern w:val="0"/>
                <w:sz w:val="18"/>
                <w:szCs w:val="18"/>
              </w:rPr>
              <w:t>注：实质性响应遴选文件要求且价格最低的报价为评审基准价。</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10</w:t>
            </w:r>
          </w:p>
        </w:tc>
      </w:tr>
      <w:tr>
        <w:tblPrEx/>
        <w:trPr>
          <w:trHeight w:val="525" w:hRule="atLeast"/>
        </w:trPr>
        <w:tc>
          <w:tcPr>
            <w:tcW w:w="1003" w:type="dxa"/>
            <w:vMerge w:val="restart"/>
            <w:tcBorders>
              <w:top w:val="nil"/>
              <w:left w:val="single" w:sz="4" w:space="0" w:color="auto"/>
              <w:bottom w:val="single" w:sz="4" w:space="0" w:color="000000"/>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商务</w:t>
            </w:r>
            <w:r>
              <w:rPr>
                <w:rFonts w:ascii="仿宋" w:cs="宋体" w:eastAsia="仿宋" w:hAnsi="仿宋" w:hint="eastAsia"/>
                <w:kern w:val="0"/>
                <w:sz w:val="18"/>
                <w:szCs w:val="18"/>
              </w:rPr>
              <w:br/>
            </w:r>
            <w:r>
              <w:rPr>
                <w:rFonts w:ascii="仿宋" w:cs="宋体" w:eastAsia="仿宋" w:hAnsi="仿宋" w:hint="eastAsia"/>
                <w:kern w:val="0"/>
                <w:sz w:val="18"/>
                <w:szCs w:val="18"/>
              </w:rPr>
              <w:t>（25分）</w:t>
            </w: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供应商基本情况</w:t>
            </w:r>
          </w:p>
        </w:tc>
        <w:tc>
          <w:tcPr>
            <w:tcW w:w="4798" w:type="dxa"/>
            <w:tcBorders>
              <w:top w:val="nil"/>
              <w:left w:val="nil"/>
              <w:bottom w:val="single" w:sz="4" w:space="0" w:color="auto"/>
              <w:right w:val="single" w:sz="4" w:space="0" w:color="auto"/>
            </w:tcBorders>
            <w:vAlign w:val="center"/>
          </w:tcPr>
          <w:p>
            <w:pPr>
              <w:pStyle w:val="style0"/>
              <w:widowControl/>
              <w:jc w:val="left"/>
              <w:rPr>
                <w:rFonts w:ascii="仿宋" w:cs="宋体" w:eastAsia="仿宋" w:hAnsi="仿宋"/>
                <w:kern w:val="0"/>
                <w:sz w:val="18"/>
                <w:szCs w:val="18"/>
              </w:rPr>
            </w:pPr>
            <w:r>
              <w:rPr>
                <w:rFonts w:ascii="仿宋" w:cs="宋体" w:eastAsia="仿宋" w:hAnsi="仿宋" w:hint="eastAsia"/>
                <w:kern w:val="0"/>
                <w:sz w:val="18"/>
                <w:szCs w:val="18"/>
              </w:rPr>
              <w:t>供应商资质情况良好（承担专业资质等）得5分。</w:t>
            </w:r>
            <w:r>
              <w:rPr>
                <w:rFonts w:ascii="仿宋" w:cs="宋体" w:eastAsia="仿宋" w:hAnsi="仿宋" w:hint="eastAsia"/>
                <w:kern w:val="0"/>
                <w:sz w:val="18"/>
                <w:szCs w:val="18"/>
              </w:rPr>
              <w:br/>
            </w:r>
            <w:r>
              <w:rPr>
                <w:rFonts w:ascii="仿宋" w:cs="宋体" w:eastAsia="仿宋" w:hAnsi="仿宋" w:hint="eastAsia"/>
                <w:kern w:val="0"/>
                <w:sz w:val="18"/>
                <w:szCs w:val="18"/>
              </w:rPr>
              <w:t>注：供应商需提供相关证明材料，否则不予认可。</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5</w:t>
            </w:r>
          </w:p>
        </w:tc>
      </w:tr>
      <w:tr>
        <w:tblPrEx/>
        <w:trPr>
          <w:trHeight w:val="1035" w:hRule="atLeast"/>
        </w:trPr>
        <w:tc>
          <w:tcPr>
            <w:tcW w:w="1003" w:type="dxa"/>
            <w:vMerge w:val="continue"/>
            <w:tcBorders>
              <w:top w:val="nil"/>
              <w:left w:val="single" w:sz="4" w:space="0" w:color="auto"/>
              <w:bottom w:val="single" w:sz="4" w:space="0" w:color="000000"/>
              <w:right w:val="single" w:sz="4" w:space="0" w:color="auto"/>
            </w:tcBorders>
            <w:vAlign w:val="center"/>
          </w:tcPr>
          <w:p>
            <w:pPr>
              <w:pStyle w:val="style0"/>
              <w:widowControl/>
              <w:jc w:val="left"/>
              <w:rPr>
                <w:rFonts w:ascii="仿宋" w:cs="宋体" w:eastAsia="仿宋" w:hAnsi="仿宋"/>
                <w:kern w:val="0"/>
                <w:sz w:val="18"/>
                <w:szCs w:val="18"/>
              </w:rPr>
            </w:pP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供应商的业绩</w:t>
            </w:r>
          </w:p>
        </w:tc>
        <w:tc>
          <w:tcPr>
            <w:tcW w:w="4798" w:type="dxa"/>
            <w:tcBorders>
              <w:top w:val="nil"/>
              <w:left w:val="nil"/>
              <w:bottom w:val="single" w:sz="4" w:space="0" w:color="auto"/>
              <w:right w:val="single" w:sz="4" w:space="0" w:color="auto"/>
            </w:tcBorders>
            <w:vAlign w:val="center"/>
          </w:tcPr>
          <w:p>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供应商近三年（2019年1月起至本采购活动遴选公告发布前（以合同签订日期为准））承接过</w:t>
            </w:r>
            <w:r>
              <w:rPr>
                <w:rFonts w:ascii="仿宋" w:cs="宋体" w:eastAsia="仿宋" w:hAnsi="仿宋" w:hint="eastAsia"/>
                <w:color w:val="000000"/>
                <w:kern w:val="0"/>
                <w:sz w:val="18"/>
                <w:szCs w:val="18"/>
                <w:lang w:eastAsia="zh-CN"/>
              </w:rPr>
              <w:t>托育服务培训、应急演练或</w:t>
            </w:r>
            <w:r>
              <w:rPr>
                <w:rFonts w:ascii="仿宋" w:cs="宋体" w:eastAsia="仿宋" w:hAnsi="仿宋" w:hint="eastAsia"/>
                <w:color w:val="000000"/>
                <w:kern w:val="0"/>
                <w:sz w:val="18"/>
                <w:szCs w:val="18"/>
              </w:rPr>
              <w:t>相关项目相关业绩，每提供1个业绩得5分，最多得20分。</w:t>
            </w:r>
            <w:r>
              <w:rPr>
                <w:rFonts w:ascii="仿宋" w:cs="宋体" w:eastAsia="仿宋" w:hAnsi="仿宋" w:hint="eastAsia"/>
                <w:color w:val="000000"/>
                <w:kern w:val="0"/>
                <w:sz w:val="18"/>
                <w:szCs w:val="18"/>
              </w:rPr>
              <w:br/>
            </w:r>
            <w:r>
              <w:rPr>
                <w:rFonts w:ascii="仿宋" w:cs="宋体" w:eastAsia="仿宋" w:hAnsi="仿宋" w:hint="eastAsia"/>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20</w:t>
            </w:r>
          </w:p>
        </w:tc>
      </w:tr>
      <w:tr>
        <w:tblPrEx/>
        <w:trPr>
          <w:trHeight w:val="810" w:hRule="atLeast"/>
        </w:trPr>
        <w:tc>
          <w:tcPr>
            <w:tcW w:w="1003" w:type="dxa"/>
            <w:vMerge w:val="restart"/>
            <w:tcBorders>
              <w:top w:val="nil"/>
              <w:left w:val="single" w:sz="4" w:space="0" w:color="auto"/>
              <w:bottom w:val="single" w:sz="4" w:space="0" w:color="000000"/>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技术</w:t>
            </w:r>
            <w:r>
              <w:rPr>
                <w:rFonts w:ascii="仿宋" w:cs="宋体" w:eastAsia="仿宋" w:hAnsi="仿宋" w:hint="eastAsia"/>
                <w:kern w:val="0"/>
                <w:sz w:val="18"/>
                <w:szCs w:val="18"/>
              </w:rPr>
              <w:br/>
            </w:r>
            <w:r>
              <w:rPr>
                <w:rFonts w:ascii="仿宋" w:cs="宋体" w:eastAsia="仿宋" w:hAnsi="仿宋" w:hint="eastAsia"/>
                <w:kern w:val="0"/>
                <w:sz w:val="18"/>
                <w:szCs w:val="18"/>
              </w:rPr>
              <w:t>（65分）</w:t>
            </w: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项目方案</w:t>
            </w:r>
          </w:p>
        </w:tc>
        <w:tc>
          <w:tcPr>
            <w:tcW w:w="4798" w:type="dxa"/>
            <w:tcBorders>
              <w:top w:val="nil"/>
              <w:left w:val="nil"/>
              <w:bottom w:val="single" w:sz="4" w:space="0" w:color="auto"/>
              <w:right w:val="single" w:sz="4" w:space="0" w:color="auto"/>
            </w:tcBorders>
            <w:vAlign w:val="center"/>
          </w:tcPr>
          <w:p>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20</w:t>
            </w:r>
          </w:p>
        </w:tc>
      </w:tr>
      <w:tr>
        <w:tblPrEx/>
        <w:trPr>
          <w:trHeight w:val="2415" w:hRule="atLeast"/>
        </w:trPr>
        <w:tc>
          <w:tcPr>
            <w:tcW w:w="1003" w:type="dxa"/>
            <w:vMerge w:val="continue"/>
            <w:tcBorders>
              <w:top w:val="nil"/>
              <w:left w:val="single" w:sz="4" w:space="0" w:color="auto"/>
              <w:bottom w:val="single" w:sz="4" w:space="0" w:color="000000"/>
              <w:right w:val="single" w:sz="4" w:space="0" w:color="auto"/>
            </w:tcBorders>
            <w:vAlign w:val="center"/>
          </w:tcPr>
          <w:p>
            <w:pPr>
              <w:pStyle w:val="style0"/>
              <w:widowControl/>
              <w:jc w:val="left"/>
              <w:rPr>
                <w:rFonts w:ascii="仿宋" w:cs="宋体" w:eastAsia="仿宋" w:hAnsi="仿宋"/>
                <w:kern w:val="0"/>
                <w:sz w:val="18"/>
                <w:szCs w:val="18"/>
              </w:rPr>
            </w:pP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项目人员配备</w:t>
            </w:r>
          </w:p>
        </w:tc>
        <w:tc>
          <w:tcPr>
            <w:tcW w:w="4798" w:type="dxa"/>
            <w:tcBorders>
              <w:top w:val="nil"/>
              <w:left w:val="nil"/>
              <w:bottom w:val="single" w:sz="4" w:space="0" w:color="auto"/>
              <w:right w:val="single" w:sz="4" w:space="0" w:color="auto"/>
            </w:tcBorders>
            <w:vAlign w:val="center"/>
          </w:tcPr>
          <w:p>
            <w:pPr>
              <w:pStyle w:val="style0"/>
              <w:widowControl/>
              <w:rPr>
                <w:rFonts w:ascii="仿宋" w:cs="宋体" w:eastAsia="仿宋" w:hAnsi="仿宋"/>
                <w:kern w:val="0"/>
                <w:sz w:val="18"/>
                <w:szCs w:val="18"/>
              </w:rPr>
            </w:pPr>
            <w:r>
              <w:rPr>
                <w:rFonts w:ascii="仿宋" w:cs="宋体" w:eastAsia="仿宋" w:hAnsi="仿宋" w:hint="eastAsia"/>
                <w:kern w:val="0"/>
                <w:sz w:val="18"/>
                <w:szCs w:val="18"/>
              </w:rPr>
              <w:t>拟投入本项目团队人员评价：</w:t>
            </w:r>
            <w:r>
              <w:rPr>
                <w:rFonts w:ascii="仿宋" w:cs="宋体" w:eastAsia="仿宋" w:hAnsi="仿宋" w:hint="eastAsia"/>
                <w:kern w:val="0"/>
                <w:sz w:val="18"/>
                <w:szCs w:val="18"/>
              </w:rPr>
              <w:br/>
            </w:r>
            <w:r>
              <w:rPr>
                <w:rFonts w:ascii="仿宋" w:cs="宋体" w:eastAsia="仿宋" w:hAnsi="仿宋" w:hint="eastAsia"/>
                <w:kern w:val="0"/>
                <w:sz w:val="18"/>
                <w:szCs w:val="18"/>
              </w:rPr>
              <w:t>（1）托育服务</w:t>
            </w:r>
            <w:r>
              <w:rPr>
                <w:rFonts w:ascii="仿宋" w:cs="宋体" w:eastAsia="仿宋" w:hAnsi="仿宋" w:hint="eastAsia"/>
                <w:kern w:val="0"/>
                <w:sz w:val="18"/>
                <w:szCs w:val="18"/>
                <w:lang w:eastAsia="zh-CN"/>
              </w:rPr>
              <w:t>培训或应急演练</w:t>
            </w:r>
            <w:r>
              <w:rPr>
                <w:rFonts w:ascii="仿宋" w:cs="宋体" w:eastAsia="仿宋" w:hAnsi="仿宋" w:hint="eastAsia"/>
                <w:kern w:val="0"/>
                <w:sz w:val="18"/>
                <w:szCs w:val="18"/>
              </w:rPr>
              <w:t>领域工作经验丰富，学历（专业）优于/符合要求，分工明确，与项目实际契合度高，得13-20分；</w:t>
            </w:r>
            <w:r>
              <w:rPr>
                <w:rFonts w:ascii="仿宋" w:cs="宋体" w:eastAsia="仿宋" w:hAnsi="仿宋" w:hint="eastAsia"/>
                <w:kern w:val="0"/>
                <w:sz w:val="18"/>
                <w:szCs w:val="18"/>
              </w:rPr>
              <w:br/>
            </w:r>
            <w:r>
              <w:rPr>
                <w:rFonts w:ascii="仿宋" w:cs="宋体" w:eastAsia="仿宋" w:hAnsi="仿宋" w:hint="eastAsia"/>
                <w:kern w:val="0"/>
                <w:sz w:val="18"/>
                <w:szCs w:val="18"/>
              </w:rPr>
              <w:t>（2）托育服务</w:t>
            </w:r>
            <w:r>
              <w:rPr>
                <w:rFonts w:ascii="仿宋" w:cs="宋体" w:eastAsia="仿宋" w:hAnsi="仿宋" w:hint="eastAsia"/>
                <w:kern w:val="0"/>
                <w:sz w:val="18"/>
                <w:szCs w:val="18"/>
                <w:lang w:eastAsia="zh-CN"/>
              </w:rPr>
              <w:t>培训或应急演练</w:t>
            </w:r>
            <w:r>
              <w:rPr>
                <w:rFonts w:ascii="仿宋" w:cs="宋体" w:eastAsia="仿宋" w:hAnsi="仿宋" w:hint="eastAsia"/>
                <w:kern w:val="0"/>
                <w:sz w:val="18"/>
                <w:szCs w:val="18"/>
              </w:rPr>
              <w:t>领域工作较丰富，学历（专业）符合要求，分工较明确，与项目实际契合度较高，得7-12分；</w:t>
            </w:r>
            <w:r>
              <w:rPr>
                <w:rFonts w:ascii="仿宋" w:cs="宋体" w:eastAsia="仿宋" w:hAnsi="仿宋" w:hint="eastAsia"/>
                <w:kern w:val="0"/>
                <w:sz w:val="18"/>
                <w:szCs w:val="18"/>
              </w:rPr>
              <w:br/>
            </w:r>
            <w:r>
              <w:rPr>
                <w:rFonts w:ascii="仿宋" w:cs="宋体" w:eastAsia="仿宋" w:hAnsi="仿宋" w:hint="eastAsia"/>
                <w:kern w:val="0"/>
                <w:sz w:val="18"/>
                <w:szCs w:val="18"/>
              </w:rPr>
              <w:t>（3）托育服务</w:t>
            </w:r>
            <w:r>
              <w:rPr>
                <w:rFonts w:ascii="仿宋" w:cs="宋体" w:eastAsia="仿宋" w:hAnsi="仿宋" w:hint="eastAsia"/>
                <w:kern w:val="0"/>
                <w:sz w:val="18"/>
                <w:szCs w:val="18"/>
                <w:lang w:eastAsia="zh-CN"/>
              </w:rPr>
              <w:t>培训或应急演练</w:t>
            </w:r>
            <w:r>
              <w:rPr>
                <w:rFonts w:ascii="仿宋" w:cs="宋体" w:eastAsia="仿宋" w:hAnsi="仿宋" w:hint="eastAsia"/>
                <w:kern w:val="0"/>
                <w:sz w:val="18"/>
                <w:szCs w:val="18"/>
              </w:rPr>
              <w:t>领域工作经验一般，学历（专业）基本满足要求，分工一般，与项目实际契合度一般，得1-6分；</w:t>
            </w:r>
            <w:r>
              <w:rPr>
                <w:rFonts w:ascii="仿宋" w:cs="宋体" w:eastAsia="仿宋" w:hAnsi="仿宋" w:hint="eastAsia"/>
                <w:kern w:val="0"/>
                <w:sz w:val="18"/>
                <w:szCs w:val="18"/>
              </w:rPr>
              <w:br/>
            </w:r>
            <w:r>
              <w:rPr>
                <w:rFonts w:ascii="仿宋" w:cs="宋体" w:eastAsia="仿宋" w:hAnsi="仿宋" w:hint="eastAsia"/>
                <w:kern w:val="0"/>
                <w:sz w:val="18"/>
                <w:szCs w:val="18"/>
              </w:rPr>
              <w:t>（4）托育服务</w:t>
            </w:r>
            <w:r>
              <w:rPr>
                <w:rFonts w:ascii="仿宋" w:cs="宋体" w:eastAsia="仿宋" w:hAnsi="仿宋" w:hint="eastAsia"/>
                <w:kern w:val="0"/>
                <w:sz w:val="18"/>
                <w:szCs w:val="18"/>
                <w:lang w:eastAsia="zh-CN"/>
              </w:rPr>
              <w:t>培训或应急演练</w:t>
            </w:r>
            <w:r>
              <w:rPr>
                <w:rFonts w:ascii="仿宋" w:cs="宋体" w:eastAsia="仿宋" w:hAnsi="仿宋" w:hint="eastAsia"/>
                <w:kern w:val="0"/>
                <w:sz w:val="18"/>
                <w:szCs w:val="18"/>
              </w:rPr>
              <w:t>领域工作经验较差，学历（专业）较差，分工不明确，无法满足实际需要，得0分。</w:t>
            </w:r>
            <w:r>
              <w:rPr>
                <w:rFonts w:ascii="仿宋" w:cs="宋体" w:eastAsia="仿宋" w:hAnsi="仿宋" w:hint="eastAsia"/>
                <w:kern w:val="0"/>
                <w:sz w:val="18"/>
                <w:szCs w:val="18"/>
              </w:rPr>
              <w:br/>
            </w:r>
            <w:r>
              <w:rPr>
                <w:rFonts w:ascii="仿宋" w:cs="宋体" w:eastAsia="仿宋" w:hAnsi="仿宋" w:hint="eastAsia"/>
                <w:kern w:val="0"/>
                <w:sz w:val="18"/>
                <w:szCs w:val="18"/>
              </w:rPr>
              <w:t>注：需提供项目团队人员劳动合同复印件、工作简历、学历证书复印件。</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20</w:t>
            </w:r>
          </w:p>
        </w:tc>
      </w:tr>
      <w:tr>
        <w:tblPrEx/>
        <w:trPr>
          <w:trHeight w:val="810" w:hRule="atLeast"/>
        </w:trPr>
        <w:tc>
          <w:tcPr>
            <w:tcW w:w="1003" w:type="dxa"/>
            <w:vMerge w:val="continue"/>
            <w:tcBorders>
              <w:top w:val="nil"/>
              <w:left w:val="single" w:sz="4" w:space="0" w:color="auto"/>
              <w:bottom w:val="single" w:sz="4" w:space="0" w:color="000000"/>
              <w:right w:val="single" w:sz="4" w:space="0" w:color="auto"/>
            </w:tcBorders>
            <w:vAlign w:val="center"/>
          </w:tcPr>
          <w:p>
            <w:pPr>
              <w:pStyle w:val="style0"/>
              <w:widowControl/>
              <w:jc w:val="left"/>
              <w:rPr>
                <w:rFonts w:ascii="仿宋" w:cs="宋体" w:eastAsia="仿宋" w:hAnsi="仿宋"/>
                <w:kern w:val="0"/>
                <w:sz w:val="18"/>
                <w:szCs w:val="18"/>
              </w:rPr>
            </w:pP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质量保证措施</w:t>
            </w:r>
          </w:p>
        </w:tc>
        <w:tc>
          <w:tcPr>
            <w:tcW w:w="4798" w:type="dxa"/>
            <w:tcBorders>
              <w:top w:val="nil"/>
              <w:left w:val="nil"/>
              <w:bottom w:val="single" w:sz="4" w:space="0" w:color="auto"/>
              <w:right w:val="single" w:sz="4" w:space="0" w:color="auto"/>
            </w:tcBorders>
            <w:vAlign w:val="center"/>
          </w:tcPr>
          <w:p>
            <w:pPr>
              <w:pStyle w:val="style0"/>
              <w:widowControl/>
              <w:jc w:val="left"/>
              <w:rPr>
                <w:rFonts w:ascii="仿宋" w:cs="宋体" w:eastAsia="仿宋" w:hAnsi="仿宋"/>
                <w:color w:val="000000"/>
                <w:kern w:val="0"/>
                <w:sz w:val="18"/>
                <w:szCs w:val="18"/>
              </w:rPr>
            </w:pPr>
            <w:r>
              <w:rPr>
                <w:rFonts w:ascii="仿宋" w:cs="宋体" w:eastAsia="仿宋" w:hAnsi="仿宋" w:hint="eastAsia"/>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15</w:t>
            </w:r>
          </w:p>
        </w:tc>
      </w:tr>
      <w:tr>
        <w:tblPrEx/>
        <w:trPr>
          <w:trHeight w:val="900" w:hRule="atLeast"/>
        </w:trPr>
        <w:tc>
          <w:tcPr>
            <w:tcW w:w="1003" w:type="dxa"/>
            <w:vMerge w:val="continue"/>
            <w:tcBorders>
              <w:top w:val="nil"/>
              <w:left w:val="single" w:sz="4" w:space="0" w:color="auto"/>
              <w:bottom w:val="single" w:sz="4" w:space="0" w:color="000000"/>
              <w:right w:val="single" w:sz="4" w:space="0" w:color="auto"/>
            </w:tcBorders>
            <w:vAlign w:val="center"/>
          </w:tcPr>
          <w:p>
            <w:pPr>
              <w:pStyle w:val="style0"/>
              <w:widowControl/>
              <w:jc w:val="left"/>
              <w:rPr>
                <w:rFonts w:ascii="仿宋" w:cs="宋体" w:eastAsia="仿宋" w:hAnsi="仿宋"/>
                <w:kern w:val="0"/>
                <w:sz w:val="18"/>
                <w:szCs w:val="18"/>
              </w:rPr>
            </w:pPr>
          </w:p>
        </w:tc>
        <w:tc>
          <w:tcPr>
            <w:tcW w:w="1344"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服务承诺</w:t>
            </w:r>
          </w:p>
        </w:tc>
        <w:tc>
          <w:tcPr>
            <w:tcW w:w="4798" w:type="dxa"/>
            <w:tcBorders>
              <w:top w:val="nil"/>
              <w:left w:val="nil"/>
              <w:bottom w:val="single" w:sz="4" w:space="0" w:color="auto"/>
              <w:right w:val="single" w:sz="4" w:space="0" w:color="auto"/>
            </w:tcBorders>
            <w:vAlign w:val="center"/>
          </w:tcPr>
          <w:p>
            <w:pPr>
              <w:pStyle w:val="style0"/>
              <w:widowControl/>
              <w:jc w:val="left"/>
              <w:rPr>
                <w:rFonts w:ascii="仿宋" w:eastAsia="仿宋" w:hAnsi="仿宋"/>
                <w:kern w:val="0"/>
                <w:sz w:val="18"/>
                <w:szCs w:val="18"/>
              </w:rPr>
            </w:pPr>
            <w:r>
              <w:rPr>
                <w:rFonts w:ascii="仿宋" w:eastAsia="仿宋" w:hAnsi="仿宋" w:hint="eastAsia"/>
                <w:kern w:val="0"/>
                <w:sz w:val="18"/>
                <w:szCs w:val="18"/>
              </w:rPr>
              <w:t>供应商须提供沟通机制，内容包括①服务人员安排②沟通方案，要求有专人定期沟通，配合。优秀的，得</w:t>
            </w:r>
            <w:r>
              <w:rPr>
                <w:rFonts w:ascii="仿宋" w:eastAsia="仿宋" w:hAnsi="仿宋"/>
                <w:kern w:val="0"/>
                <w:sz w:val="18"/>
                <w:szCs w:val="18"/>
              </w:rPr>
              <w:t>7-10</w:t>
            </w:r>
            <w:r>
              <w:rPr>
                <w:rFonts w:ascii="仿宋" w:eastAsia="仿宋" w:hAnsi="仿宋" w:hint="eastAsia"/>
                <w:kern w:val="0"/>
                <w:sz w:val="18"/>
                <w:szCs w:val="18"/>
              </w:rPr>
              <w:t>分；良好的，得</w:t>
            </w:r>
            <w:r>
              <w:rPr>
                <w:rFonts w:ascii="仿宋" w:eastAsia="仿宋" w:hAnsi="仿宋"/>
                <w:kern w:val="0"/>
                <w:sz w:val="18"/>
                <w:szCs w:val="18"/>
              </w:rPr>
              <w:t>4-6</w:t>
            </w:r>
            <w:r>
              <w:rPr>
                <w:rFonts w:ascii="仿宋" w:eastAsia="仿宋" w:hAnsi="仿宋" w:hint="eastAsia"/>
                <w:kern w:val="0"/>
                <w:sz w:val="18"/>
                <w:szCs w:val="18"/>
              </w:rPr>
              <w:t>分；一般的，得</w:t>
            </w:r>
            <w:r>
              <w:rPr>
                <w:rFonts w:ascii="仿宋" w:eastAsia="仿宋" w:hAnsi="仿宋"/>
                <w:kern w:val="0"/>
                <w:sz w:val="18"/>
                <w:szCs w:val="18"/>
              </w:rPr>
              <w:t>1-3</w:t>
            </w:r>
            <w:r>
              <w:rPr>
                <w:rFonts w:ascii="仿宋" w:eastAsia="仿宋" w:hAnsi="仿宋" w:hint="eastAsia"/>
                <w:kern w:val="0"/>
                <w:sz w:val="18"/>
                <w:szCs w:val="18"/>
              </w:rPr>
              <w:t>分；较差的，得</w:t>
            </w:r>
            <w:r>
              <w:rPr>
                <w:rFonts w:ascii="仿宋" w:eastAsia="仿宋" w:hAnsi="仿宋"/>
                <w:kern w:val="0"/>
                <w:sz w:val="18"/>
                <w:szCs w:val="18"/>
              </w:rPr>
              <w:t>0</w:t>
            </w:r>
            <w:r>
              <w:rPr>
                <w:rFonts w:ascii="仿宋" w:eastAsia="仿宋" w:hAnsi="仿宋" w:hint="eastAsia"/>
                <w:kern w:val="0"/>
                <w:sz w:val="18"/>
                <w:szCs w:val="18"/>
              </w:rPr>
              <w:t>分。</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10</w:t>
            </w:r>
          </w:p>
        </w:tc>
      </w:tr>
      <w:tr>
        <w:tblPrEx/>
        <w:trPr>
          <w:trHeight w:val="510" w:hRule="atLeast"/>
        </w:trPr>
        <w:tc>
          <w:tcPr>
            <w:tcW w:w="7145" w:type="dxa"/>
            <w:gridSpan w:val="3"/>
            <w:tcBorders>
              <w:top w:val="single" w:sz="4" w:space="0" w:color="auto"/>
              <w:left w:val="single" w:sz="4" w:space="0" w:color="auto"/>
              <w:bottom w:val="single" w:sz="4" w:space="0" w:color="auto"/>
              <w:right w:val="single" w:sz="4" w:space="0" w:color="000000"/>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总分</w:t>
            </w:r>
          </w:p>
        </w:tc>
        <w:tc>
          <w:tcPr>
            <w:tcW w:w="1383" w:type="dxa"/>
            <w:tcBorders>
              <w:top w:val="nil"/>
              <w:left w:val="nil"/>
              <w:bottom w:val="single" w:sz="4" w:space="0" w:color="auto"/>
              <w:right w:val="single" w:sz="4" w:space="0" w:color="auto"/>
            </w:tcBorders>
            <w:vAlign w:val="center"/>
          </w:tcPr>
          <w:p>
            <w:pPr>
              <w:pStyle w:val="style0"/>
              <w:widowControl/>
              <w:jc w:val="center"/>
              <w:rPr>
                <w:rFonts w:ascii="仿宋" w:cs="宋体" w:eastAsia="仿宋" w:hAnsi="仿宋"/>
                <w:kern w:val="0"/>
                <w:sz w:val="18"/>
                <w:szCs w:val="18"/>
              </w:rPr>
            </w:pPr>
            <w:r>
              <w:rPr>
                <w:rFonts w:ascii="仿宋" w:cs="宋体" w:eastAsia="仿宋" w:hAnsi="仿宋" w:hint="eastAsia"/>
                <w:kern w:val="0"/>
                <w:sz w:val="18"/>
                <w:szCs w:val="18"/>
              </w:rPr>
              <w:t>100</w:t>
            </w:r>
          </w:p>
        </w:tc>
      </w:tr>
    </w:tbl>
    <w:p>
      <w:pPr>
        <w:pStyle w:val="style0"/>
        <w:spacing w:lineRule="auto" w:line="360"/>
        <w:jc w:val="center"/>
        <w:rPr>
          <w:rFonts w:ascii="仿宋" w:cs="宋体" w:eastAsia="仿宋" w:hAnsi="仿宋"/>
          <w:b/>
          <w:bCs/>
          <w:sz w:val="32"/>
          <w:szCs w:val="28"/>
        </w:rPr>
      </w:pPr>
      <w:r>
        <w:rPr>
          <w:rFonts w:ascii="仿宋" w:cs="宋体" w:eastAsia="仿宋" w:hAnsi="仿宋"/>
          <w:b/>
          <w:bCs/>
          <w:sz w:val="32"/>
          <w:szCs w:val="28"/>
        </w:rPr>
        <w:t>评分标准</w:t>
      </w:r>
    </w:p>
    <w:sectPr>
      <w:footerReference w:type="default" r:id="rId2"/>
      <w:pgSz w:w="11906" w:h="16838" w:orient="portrait"/>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w:panose1 w:val="05000000000000000000"/>
    <w:charset w:val="02"/>
    <w:family w:val="auto"/>
    <w:pitch w:val="default"/>
    <w:sig w:usb0="00000000" w:usb1="00000000" w:usb2="00000000" w:usb3="00000000" w:csb0="80000000" w:csb1="00000000"/>
  </w:font>
  <w:font w:name="Arial">
    <w:altName w:val="Times New Roman"/>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Symbol"/>
    <w:panose1 w:val="02000609000000000000"/>
    <w:charset w:val="02"/>
    <w:family w:val="roman"/>
    <w:pitch w:val="default"/>
    <w:sig w:usb0="800000AF" w:usb1="4000204A" w:usb2="00000000" w:usb3="00000000" w:csb0="20000000" w:csb1="00000000"/>
  </w:font>
  <w:font w:name="Calibri">
    <w:altName w:val="DejaVu Sans"/>
    <w:panose1 w:val="020f0502020002030204"/>
    <w:charset w:val="00"/>
    <w:family w:val="swiss"/>
    <w:pitch w:val="default"/>
    <w:sig w:usb0="00000000" w:usb1="00000000" w:usb2="00000001" w:usb3="00000000" w:csb0="0000019F" w:csb1="00000000"/>
  </w:font>
  <w:font w:name="仿宋_GB2312">
    <w:altName w:val="仿宋_GB2312"/>
    <w:panose1 w:val="02010609030001010101"/>
    <w:charset w:val="86"/>
    <w:family w:val="modern"/>
    <w:pitch w:val="default"/>
    <w:sig w:usb0="00000001" w:usb1="080E0000" w:usb2="00000000" w:usb3="00000000" w:csb0="00040000" w:csb1="00000000"/>
  </w:font>
  <w:font w:name="CESI仿宋-GB2312">
    <w:altName w:val="CESI仿宋-GB2312"/>
    <w:panose1 w:val="02000500000000000000"/>
    <w:charset w:val="86"/>
    <w:family w:val="auto"/>
    <w:pitch w:val="default"/>
    <w:sig w:usb0="800002AF" w:usb1="084F6CF8" w:usb2="00000010" w:usb3="00000000" w:csb0="0004000F" w:csb1="00000000"/>
  </w:font>
  <w:font w:name="方正黑体_GBK">
    <w:altName w:val="方正黑体_GBK"/>
    <w:panose1 w:val="02000000000000000000"/>
    <w:charset w:val="86"/>
    <w:family w:val="auto"/>
    <w:pitch w:val="default"/>
    <w:sig w:usb0="00000001" w:usb1="08000000" w:usb2="00000000" w:usb3="00000000" w:csb0="00040000" w:csb1="00000000"/>
  </w:font>
  <w:font w:name="仿宋">
    <w:altName w:val="方正仿宋_GBK"/>
    <w:panose1 w:val="02010609060001010101"/>
    <w:charset w:val="86"/>
    <w:family w:val="auto"/>
    <w:pitch w:val="default"/>
    <w:sig w:usb0="00000000" w:usb1="00000000" w:usb2="00000016" w:usb3="00000000" w:csb0="00040001" w:csb1="00000000"/>
  </w:font>
  <w:font w:name="方正书宋_GBK">
    <w:altName w:val="方正书宋_GBK"/>
    <w:panose1 w:val="02000000000000000000"/>
    <w:charset w:val="86"/>
    <w:family w:val="auto"/>
    <w:pitch w:val="default"/>
    <w:sig w:usb0="00000001" w:usb1="08000000" w:usb2="00000000" w:usb3="00000000" w:csb0="00040000" w:csb1="00000000"/>
  </w:font>
  <w:font w:name="方正仿宋_GBK">
    <w:altName w:val="方正仿宋_GBK"/>
    <w:panose1 w:val="02000000000000000000"/>
    <w:charset w:val="86"/>
    <w:family w:val="auto"/>
    <w:pitch w:val="default"/>
    <w:sig w:usb0="00000001" w:usb1="08000000" w:usb2="00000000" w:usb3="00000000" w:csb0="00040000" w:csb1="00000000"/>
  </w:font>
  <w:font w:name="DejaVu Sans">
    <w:altName w:val="DejaVu Sans"/>
    <w:panose1 w:val="020b0603030008020204"/>
    <w:charset w:val="00"/>
    <w:family w:val="auto"/>
    <w:pitch w:val="default"/>
    <w:sig w:usb0="E7006EFF" w:usb1="D200FDFF" w:usb2="0A246029" w:usb3="0400200C" w:csb0="600001FF" w:csb1="DFFF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0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ascii="宋体" w:cs="宋体" w:eastAsia="宋体" w:hAnsi="宋体" w:hint="eastAsia"/>
                              <w:sz w:val="28"/>
                              <w:szCs w:val="28"/>
                            </w:rPr>
                          </w:pP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1.25pt"/>
              <v:fill/>
              <v:textbox inset="0.0pt,0.0pt,0.0pt,0.0pt" style="mso-fit-shape-to-text:true;">
                <w:txbxContent>
                  <w:p>
                    <w:pPr>
                      <w:pStyle w:val="style32"/>
                      <w:rPr>
                        <w:rFonts w:ascii="宋体" w:cs="宋体" w:eastAsia="宋体" w:hAnsi="宋体" w:hint="eastAsia"/>
                        <w:sz w:val="28"/>
                        <w:szCs w:val="28"/>
                      </w:rPr>
                    </w:pPr>
                    <w:r>
                      <w:rPr>
                        <w:rFonts w:ascii="宋体" w:cs="宋体" w:eastAsia="宋体" w:hAnsi="宋体" w:hint="eastAsia"/>
                        <w:sz w:val="28"/>
                        <w:szCs w:val="28"/>
                      </w:rPr>
                      <w:fldChar w:fldCharType="begin"/>
                    </w:r>
                    <w:r>
                      <w:rPr>
                        <w:rFonts w:ascii="宋体" w:cs="宋体" w:eastAsia="宋体" w:hAnsi="宋体" w:hint="eastAsia"/>
                        <w:sz w:val="28"/>
                        <w:szCs w:val="28"/>
                      </w:rPr>
                      <w:instrText xml:space="preserve"> PAGE  \* MERGEFORMAT </w:instrText>
                    </w:r>
                    <w:r>
                      <w:rPr>
                        <w:rFonts w:ascii="宋体" w:cs="宋体" w:eastAsia="宋体" w:hAnsi="宋体" w:hint="eastAsia"/>
                        <w:sz w:val="28"/>
                        <w:szCs w:val="28"/>
                      </w:rPr>
                      <w:fldChar w:fldCharType="separate"/>
                    </w:r>
                    <w:r>
                      <w:rPr>
                        <w:rFonts w:ascii="宋体" w:cs="宋体" w:eastAsia="宋体" w:hAnsi="宋体" w:hint="eastAsia"/>
                        <w:sz w:val="28"/>
                        <w:szCs w:val="28"/>
                      </w:rPr>
                      <w:t>1</w:t>
                    </w:r>
                    <w:r>
                      <w:rPr>
                        <w:rFonts w:ascii="宋体" w:cs="宋体" w:eastAsia="宋体" w:hAnsi="宋体" w:hint="eastAsia"/>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0">
    <w:name w:val="annotation text"/>
    <w:basedOn w:val="style0"/>
    <w:next w:val="style30"/>
    <w:link w:val="style4101"/>
    <w:qFormat/>
    <w:uiPriority w:val="99"/>
    <w:pPr>
      <w:jc w:val="left"/>
    </w:pPr>
    <w:rPr/>
  </w:style>
  <w:style w:type="paragraph" w:styleId="style153">
    <w:name w:val="Balloon Text"/>
    <w:basedOn w:val="style0"/>
    <w:next w:val="style153"/>
    <w:link w:val="style4103"/>
    <w:qFormat/>
    <w:uiPriority w:val="99"/>
    <w:pPr/>
    <w:rPr>
      <w:sz w:val="18"/>
      <w:szCs w:val="18"/>
    </w:rPr>
  </w:style>
  <w:style w:type="paragraph" w:styleId="style32">
    <w:name w:val="footer"/>
    <w:basedOn w:val="style0"/>
    <w:next w:val="style32"/>
    <w:link w:val="style4099"/>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06">
    <w:name w:val="annotation subject"/>
    <w:basedOn w:val="style30"/>
    <w:next w:val="style30"/>
    <w:link w:val="style4102"/>
    <w:qFormat/>
    <w:uiPriority w:val="99"/>
    <w:pPr/>
    <w:rPr>
      <w:b/>
      <w:bCs/>
    </w:rPr>
  </w:style>
  <w:style w:type="character" w:styleId="style39">
    <w:name w:val="annotation reference"/>
    <w:basedOn w:val="style65"/>
    <w:next w:val="style39"/>
    <w:qFormat/>
    <w:uiPriority w:val="99"/>
    <w:rPr>
      <w:sz w:val="21"/>
      <w:szCs w:val="21"/>
    </w:rPr>
  </w:style>
  <w:style w:type="paragraph" w:customStyle="1" w:styleId="style4097">
    <w:name w:val="列表段落1"/>
    <w:basedOn w:val="style0"/>
    <w:next w:val="style4097"/>
    <w:link w:val="style4100"/>
    <w:qFormat/>
    <w:uiPriority w:val="34"/>
    <w:pPr>
      <w:ind w:firstLine="420" w:firstLineChars="200"/>
    </w:pPr>
    <w:rPr/>
  </w:style>
  <w:style w:type="character" w:customStyle="1" w:styleId="style4098">
    <w:name w:val="页眉 字符"/>
    <w:basedOn w:val="style65"/>
    <w:next w:val="style4098"/>
    <w:link w:val="style31"/>
    <w:qFormat/>
    <w:uiPriority w:val="99"/>
    <w:rPr>
      <w:sz w:val="18"/>
      <w:szCs w:val="18"/>
    </w:rPr>
  </w:style>
  <w:style w:type="character" w:customStyle="1" w:styleId="style4099">
    <w:name w:val="页脚 字符"/>
    <w:basedOn w:val="style65"/>
    <w:next w:val="style4099"/>
    <w:link w:val="style32"/>
    <w:qFormat/>
    <w:uiPriority w:val="99"/>
    <w:rPr>
      <w:sz w:val="18"/>
      <w:szCs w:val="18"/>
    </w:rPr>
  </w:style>
  <w:style w:type="character" w:customStyle="1" w:styleId="style4100">
    <w:name w:val="列出段落 Char"/>
    <w:next w:val="style4100"/>
    <w:link w:val="style4097"/>
    <w:qFormat/>
    <w:uiPriority w:val="34"/>
    <w:rPr>
      <w:rFonts w:ascii="Calibri" w:hAnsi="Calibri"/>
    </w:rPr>
  </w:style>
  <w:style w:type="character" w:customStyle="1" w:styleId="style4101">
    <w:name w:val="批注文字 字符"/>
    <w:basedOn w:val="style65"/>
    <w:next w:val="style4101"/>
    <w:link w:val="style30"/>
    <w:qFormat/>
    <w:uiPriority w:val="99"/>
  </w:style>
  <w:style w:type="character" w:customStyle="1" w:styleId="style4102">
    <w:name w:val="批注主题 字符"/>
    <w:basedOn w:val="style4101"/>
    <w:next w:val="style4102"/>
    <w:link w:val="style106"/>
    <w:qFormat/>
    <w:uiPriority w:val="99"/>
    <w:rPr>
      <w:b/>
      <w:bCs/>
    </w:rPr>
  </w:style>
  <w:style w:type="character" w:customStyle="1" w:styleId="style4103">
    <w:name w:val="批注框文本 字符"/>
    <w:basedOn w:val="style65"/>
    <w:next w:val="style4103"/>
    <w:link w:val="style153"/>
    <w:qFormat/>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1520</Words>
  <Pages>3</Pages>
  <Characters>1574</Characters>
  <Application>WPS Office</Application>
  <DocSecurity>0</DocSecurity>
  <Paragraphs>73</Paragraphs>
  <ScaleCrop>false</ScaleCrop>
  <LinksUpToDate>false</LinksUpToDate>
  <CharactersWithSpaces>1574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2022-04-19T20:00:00Z</dcterms:created>
  <dc:creator>强文晓</dc:creator>
  <lastModifiedBy>2203121C</lastModifiedBy>
  <lastPrinted>2024-04-08T02:58:00Z</lastPrinted>
  <dcterms:modified xsi:type="dcterms:W3CDTF">2024-05-30T09:51:42Z</dcterms:modified>
  <dc:title>申请人须知</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8af9f62d352c424f9e6faecbd9ffac76_23</vt:lpwstr>
  </property>
</Properties>
</file>