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tbl>
      <w:tblPr>
        <w:tblStyle w:val="10"/>
        <w:tblW w:w="81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110"/>
        <w:gridCol w:w="53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after="120" w:line="360" w:lineRule="auto"/>
              <w:jc w:val="center"/>
              <w:rPr>
                <w:rFonts w:hint="eastAsia" w:ascii="仿宋" w:hAnsi="仿宋" w:eastAsia="仿宋"/>
                <w:b/>
                <w:szCs w:val="21"/>
              </w:rPr>
            </w:pPr>
            <w:r>
              <w:rPr>
                <w:rFonts w:hint="eastAsia" w:ascii="仿宋" w:hAnsi="仿宋" w:eastAsia="仿宋"/>
                <w:b/>
                <w:color w:val="000000"/>
                <w:kern w:val="0"/>
                <w:szCs w:val="21"/>
              </w:rPr>
              <w:t>内容</w:t>
            </w:r>
          </w:p>
        </w:tc>
        <w:tc>
          <w:tcPr>
            <w:tcW w:w="1110" w:type="dxa"/>
            <w:noWrap w:val="0"/>
            <w:vAlign w:val="center"/>
          </w:tcPr>
          <w:p>
            <w:pPr>
              <w:suppressAutoHyphens w:val="0"/>
              <w:spacing w:after="120" w:line="360" w:lineRule="auto"/>
              <w:jc w:val="center"/>
              <w:rPr>
                <w:rFonts w:hint="eastAsia" w:ascii="仿宋" w:hAnsi="仿宋" w:eastAsia="仿宋" w:cs="Times New Roman"/>
                <w:b/>
                <w:kern w:val="2"/>
                <w:sz w:val="21"/>
                <w:szCs w:val="21"/>
                <w:lang w:val="en-US" w:eastAsia="zh-CN" w:bidi="ar-SA"/>
              </w:rPr>
            </w:pPr>
            <w:r>
              <w:rPr>
                <w:rFonts w:hint="eastAsia" w:ascii="仿宋" w:hAnsi="仿宋" w:eastAsia="仿宋"/>
                <w:b/>
                <w:color w:val="000000"/>
                <w:kern w:val="0"/>
                <w:szCs w:val="21"/>
              </w:rPr>
              <w:t>评分内容</w:t>
            </w:r>
          </w:p>
        </w:tc>
        <w:tc>
          <w:tcPr>
            <w:tcW w:w="5355" w:type="dxa"/>
            <w:noWrap w:val="0"/>
            <w:vAlign w:val="center"/>
          </w:tcPr>
          <w:p>
            <w:pPr>
              <w:suppressAutoHyphens w:val="0"/>
              <w:spacing w:after="120" w:line="360" w:lineRule="auto"/>
              <w:jc w:val="center"/>
              <w:rPr>
                <w:rFonts w:hint="eastAsia" w:ascii="仿宋" w:hAnsi="仿宋" w:eastAsia="仿宋" w:cs="Times New Roman"/>
                <w:kern w:val="2"/>
                <w:sz w:val="21"/>
                <w:szCs w:val="21"/>
                <w:lang w:val="en-US" w:eastAsia="zh-CN" w:bidi="ar-SA"/>
              </w:rPr>
            </w:pPr>
            <w:r>
              <w:rPr>
                <w:rFonts w:hint="eastAsia" w:ascii="仿宋" w:hAnsi="仿宋" w:eastAsia="仿宋"/>
                <w:b/>
                <w:color w:val="000000"/>
                <w:kern w:val="0"/>
                <w:szCs w:val="21"/>
              </w:rPr>
              <w:t>评标标准</w:t>
            </w:r>
          </w:p>
        </w:tc>
        <w:tc>
          <w:tcPr>
            <w:tcW w:w="735" w:type="dxa"/>
            <w:noWrap w:val="0"/>
            <w:vAlign w:val="center"/>
          </w:tcPr>
          <w:p>
            <w:pPr>
              <w:suppressAutoHyphens w:val="0"/>
              <w:spacing w:after="120" w:line="360" w:lineRule="auto"/>
              <w:jc w:val="center"/>
              <w:rPr>
                <w:rFonts w:hint="eastAsia" w:ascii="仿宋" w:hAnsi="仿宋" w:eastAsia="仿宋"/>
                <w:b/>
                <w:color w:val="000000"/>
                <w:kern w:val="0"/>
                <w:szCs w:val="21"/>
              </w:rPr>
            </w:pPr>
            <w:r>
              <w:rPr>
                <w:rFonts w:hint="eastAsia" w:ascii="仿宋" w:hAnsi="仿宋" w:eastAsia="仿宋"/>
                <w:b/>
                <w:color w:val="000000"/>
                <w:kern w:val="0"/>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价格</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（10分）</w:t>
            </w:r>
          </w:p>
        </w:tc>
        <w:tc>
          <w:tcPr>
            <w:tcW w:w="1110" w:type="dxa"/>
            <w:noWrap w:val="0"/>
            <w:vAlign w:val="center"/>
          </w:tcPr>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遴选报价</w:t>
            </w:r>
          </w:p>
          <w:p>
            <w:pPr>
              <w:suppressAutoHyphens w:val="0"/>
              <w:spacing w:line="276" w:lineRule="auto"/>
              <w:jc w:val="center"/>
              <w:rPr>
                <w:rFonts w:hint="default"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（10分）</w:t>
            </w:r>
          </w:p>
        </w:tc>
        <w:tc>
          <w:tcPr>
            <w:tcW w:w="5355" w:type="dxa"/>
            <w:noWrap w:val="0"/>
            <w:vAlign w:val="center"/>
          </w:tcPr>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综合评分法中的价格分统一采用低价优先法计算，即满足遴选文件要求且价格最低的评审价为评标基准价，其价格分为满分。</w:t>
            </w:r>
          </w:p>
          <w:p>
            <w:pPr>
              <w:suppressAutoHyphens w:val="0"/>
              <w:spacing w:line="276" w:lineRule="auto"/>
              <w:rPr>
                <w:rFonts w:hint="eastAsia" w:ascii="仿宋" w:hAnsi="仿宋" w:eastAsia="仿宋" w:cs="宋体"/>
                <w:color w:val="000000"/>
                <w:kern w:val="0"/>
                <w:szCs w:val="21"/>
              </w:rPr>
            </w:pPr>
            <w:r>
              <w:rPr>
                <w:rFonts w:hint="eastAsia" w:ascii="仿宋" w:hAnsi="仿宋" w:eastAsia="仿宋" w:cs="宋体"/>
                <w:color w:val="000000"/>
                <w:kern w:val="0"/>
                <w:szCs w:val="21"/>
              </w:rPr>
              <w:t>其他供应商的价格分统一按照下列公式计算：价格分数=（基准价/遴选报价）×价格权值（1/10）×100</w:t>
            </w:r>
          </w:p>
          <w:p>
            <w:pPr>
              <w:suppressAutoHyphens w:val="0"/>
              <w:spacing w:line="276" w:lineRule="auto"/>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hint="eastAsia" w:ascii="仿宋" w:hAnsi="仿宋" w:eastAsia="仿宋" w:cs="宋体"/>
                <w:b/>
                <w:color w:val="000000"/>
                <w:kern w:val="0"/>
                <w:szCs w:val="21"/>
                <w:lang w:eastAsia="zh-CN"/>
              </w:rPr>
            </w:pPr>
            <w:r>
              <w:rPr>
                <w:rFonts w:hint="eastAsia" w:ascii="仿宋" w:hAnsi="仿宋" w:eastAsia="仿宋" w:cs="宋体"/>
                <w:b/>
                <w:color w:val="000000"/>
                <w:kern w:val="0"/>
                <w:szCs w:val="21"/>
                <w:lang w:eastAsia="zh-CN"/>
              </w:rPr>
              <w:t>商务</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25</w:t>
            </w:r>
            <w:r>
              <w:rPr>
                <w:rFonts w:hint="eastAsia" w:ascii="仿宋" w:hAnsi="仿宋" w:eastAsia="仿宋" w:cs="宋体"/>
                <w:b/>
                <w:color w:val="000000"/>
                <w:kern w:val="0"/>
                <w:szCs w:val="21"/>
              </w:rPr>
              <w:t>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供应商基本情况</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5分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供应商的业绩</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20分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highlight w:val="yellow"/>
                <w:lang w:val="en-US" w:eastAsia="zh-CN" w:bidi="ar-SA"/>
              </w:rPr>
            </w:pPr>
            <w:r>
              <w:rPr>
                <w:rFonts w:hint="eastAsia" w:ascii="仿宋" w:hAnsi="仿宋" w:eastAsia="仿宋" w:cs="宋体"/>
                <w:color w:val="000000"/>
                <w:kern w:val="0"/>
                <w:sz w:val="18"/>
                <w:szCs w:val="18"/>
              </w:rPr>
              <w:t>供应商近三年承接过类似服务业绩，每提供1个业绩得5分，最多得20分。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bookmarkStart w:id="0" w:name="_GoBack"/>
            <w:bookmarkEnd w:id="0"/>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noWrap w:val="0"/>
            <w:vAlign w:val="center"/>
          </w:tcPr>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p>
          <w:p>
            <w:pPr>
              <w:suppressAutoHyphens w:val="0"/>
              <w:spacing w:line="276" w:lineRule="auto"/>
              <w:jc w:val="center"/>
              <w:rPr>
                <w:rFonts w:ascii="仿宋" w:hAnsi="仿宋" w:eastAsia="仿宋" w:cs="宋体"/>
                <w:b/>
                <w:color w:val="000000"/>
                <w:kern w:val="0"/>
                <w:szCs w:val="21"/>
              </w:rPr>
            </w:pPr>
            <w:r>
              <w:rPr>
                <w:rFonts w:hint="eastAsia" w:ascii="仿宋" w:hAnsi="仿宋" w:eastAsia="仿宋" w:cs="宋体"/>
                <w:b/>
                <w:color w:val="000000"/>
                <w:kern w:val="0"/>
                <w:szCs w:val="21"/>
              </w:rPr>
              <w:t>业务部分</w:t>
            </w:r>
          </w:p>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6</w:t>
            </w:r>
            <w:r>
              <w:rPr>
                <w:rFonts w:hint="eastAsia" w:ascii="仿宋" w:hAnsi="仿宋" w:eastAsia="仿宋" w:cs="宋体"/>
                <w:b/>
                <w:color w:val="000000"/>
                <w:kern w:val="0"/>
                <w:szCs w:val="21"/>
              </w:rPr>
              <w:t>5分）</w:t>
            </w: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项目方案</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w:t>
            </w:r>
            <w:r>
              <w:rPr>
                <w:rFonts w:hint="eastAsia" w:ascii="仿宋" w:hAnsi="仿宋" w:eastAsia="仿宋" w:cs="宋体"/>
                <w:b/>
                <w:color w:val="000000"/>
                <w:kern w:val="0"/>
                <w:szCs w:val="21"/>
                <w:lang w:val="en-US" w:eastAsia="zh-CN"/>
              </w:rPr>
              <w:t>30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项目方案科学合理性强、内容详细全面，可行性强,得20-30分；项目方案科学合理性较强、内容较为详细全面，可行性较好,得9-19分；项目方案科学合理、内容一般，有可行性,得1-8分；项目方案科学合理较差、内容不充实，可行性差,得0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项目成员配备（</w:t>
            </w:r>
            <w:r>
              <w:rPr>
                <w:rFonts w:hint="eastAsia" w:ascii="仿宋" w:hAnsi="仿宋" w:eastAsia="仿宋" w:cs="宋体"/>
                <w:b/>
                <w:color w:val="000000"/>
                <w:kern w:val="0"/>
                <w:szCs w:val="21"/>
                <w:lang w:val="en-US" w:eastAsia="zh-CN"/>
              </w:rPr>
              <w:t>20</w:t>
            </w:r>
            <w:r>
              <w:rPr>
                <w:rFonts w:hint="eastAsia" w:ascii="仿宋" w:hAnsi="仿宋" w:eastAsia="仿宋" w:cs="宋体"/>
                <w:b/>
                <w:color w:val="000000"/>
                <w:kern w:val="0"/>
                <w:szCs w:val="21"/>
              </w:rPr>
              <w:t>分）</w:t>
            </w:r>
          </w:p>
        </w:tc>
        <w:tc>
          <w:tcPr>
            <w:tcW w:w="5355" w:type="dxa"/>
            <w:noWrap w:val="0"/>
            <w:vAlign w:val="center"/>
          </w:tcPr>
          <w:p>
            <w:pPr>
              <w:suppressAutoHyphens w:val="0"/>
              <w:spacing w:line="276" w:lineRule="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（1）类似工作经验丰富，学历（专业）优于/符合要求，分工明确，与项目实际契合度高，得17-20分；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（2）类似工作经验较丰富，学历（专业）符合要求，分工较明确，与项目实际契合度较高，得10-16分；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（3）类似工作经验一般，学历（专业）基本满足要求，分工一般，与项目实际契合度一般，得5-9分；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经费管理</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rPr>
              <w:t>（5分）</w:t>
            </w:r>
          </w:p>
        </w:tc>
        <w:tc>
          <w:tcPr>
            <w:tcW w:w="5355" w:type="dxa"/>
            <w:noWrap w:val="0"/>
            <w:vAlign w:val="center"/>
          </w:tcPr>
          <w:p>
            <w:pPr>
              <w:suppressAutoHyphens w:val="0"/>
              <w:spacing w:line="276" w:lineRule="auto"/>
              <w:rPr>
                <w:rFonts w:ascii="仿宋" w:hAnsi="仿宋" w:eastAsia="仿宋" w:cs="宋体"/>
                <w:color w:val="000000"/>
                <w:kern w:val="0"/>
                <w:szCs w:val="21"/>
              </w:rPr>
            </w:pPr>
            <w:r>
              <w:rPr>
                <w:rFonts w:hint="eastAsia" w:ascii="仿宋" w:hAnsi="仿宋" w:eastAsia="仿宋" w:cs="宋体"/>
                <w:color w:val="000000"/>
                <w:kern w:val="0"/>
                <w:szCs w:val="21"/>
              </w:rPr>
              <w:t>（1）提供资金使用安全性的说明文件，且安排财务部门专人负责本项目经费的管理得5分。</w:t>
            </w:r>
          </w:p>
          <w:p>
            <w:pPr>
              <w:suppressAutoHyphens w:val="0"/>
              <w:spacing w:line="276" w:lineRule="auto"/>
              <w:rPr>
                <w:rFonts w:hint="eastAsia" w:ascii="仿宋" w:hAnsi="仿宋" w:eastAsia="仿宋" w:cs="宋体"/>
                <w:color w:val="000000"/>
                <w:kern w:val="0"/>
                <w:sz w:val="21"/>
                <w:szCs w:val="21"/>
                <w:lang w:val="en-US" w:eastAsia="zh-CN" w:bidi="ar-SA"/>
              </w:rPr>
            </w:pPr>
            <w:r>
              <w:rPr>
                <w:rFonts w:ascii="仿宋" w:hAnsi="仿宋" w:eastAsia="仿宋" w:cs="宋体"/>
                <w:color w:val="000000"/>
                <w:kern w:val="0"/>
                <w:szCs w:val="21"/>
              </w:rPr>
              <w:t>（</w:t>
            </w:r>
            <w:r>
              <w:rPr>
                <w:rFonts w:hint="eastAsia" w:ascii="仿宋" w:hAnsi="仿宋" w:eastAsia="仿宋" w:cs="宋体"/>
                <w:color w:val="000000"/>
                <w:kern w:val="0"/>
                <w:szCs w:val="21"/>
              </w:rPr>
              <w:t>2</w:t>
            </w:r>
            <w:r>
              <w:rPr>
                <w:rFonts w:ascii="仿宋" w:hAnsi="仿宋" w:eastAsia="仿宋" w:cs="宋体"/>
                <w:color w:val="000000"/>
                <w:kern w:val="0"/>
                <w:szCs w:val="21"/>
              </w:rPr>
              <w:t>）未</w:t>
            </w:r>
            <w:r>
              <w:rPr>
                <w:rFonts w:hint="eastAsia" w:ascii="仿宋" w:hAnsi="仿宋" w:eastAsia="仿宋" w:cs="宋体"/>
                <w:color w:val="000000"/>
                <w:kern w:val="0"/>
                <w:szCs w:val="21"/>
              </w:rPr>
              <w:t>提供资金使用安全性的说明文件，或</w:t>
            </w:r>
            <w:r>
              <w:rPr>
                <w:rFonts w:hint="eastAsia" w:ascii="仿宋" w:hAnsi="仿宋" w:eastAsia="仿宋" w:cs="宋体"/>
                <w:color w:val="000000"/>
                <w:kern w:val="0"/>
                <w:szCs w:val="21"/>
                <w:lang w:eastAsia="zh-CN"/>
              </w:rPr>
              <w:t>未</w:t>
            </w:r>
            <w:r>
              <w:rPr>
                <w:rFonts w:hint="eastAsia" w:ascii="仿宋" w:hAnsi="仿宋" w:eastAsia="仿宋" w:cs="宋体"/>
                <w:color w:val="000000"/>
                <w:kern w:val="0"/>
                <w:szCs w:val="21"/>
              </w:rPr>
              <w:t>安排财务部门专人负责项目经费管理得0分。</w:t>
            </w:r>
          </w:p>
        </w:tc>
        <w:tc>
          <w:tcPr>
            <w:tcW w:w="735" w:type="dxa"/>
            <w:noWrap w:val="0"/>
            <w:vAlign w:val="center"/>
          </w:tcPr>
          <w:p>
            <w:pPr>
              <w:suppressAutoHyphens w:val="0"/>
              <w:spacing w:line="276" w:lineRule="auto"/>
              <w:jc w:val="center"/>
              <w:rPr>
                <w:rFonts w:hint="eastAsia"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noWrap w:val="0"/>
            <w:vAlign w:val="center"/>
          </w:tcPr>
          <w:p>
            <w:pPr>
              <w:suppressAutoHyphens w:val="0"/>
              <w:spacing w:line="276" w:lineRule="auto"/>
              <w:jc w:val="center"/>
              <w:rPr>
                <w:rFonts w:hint="eastAsia" w:ascii="仿宋" w:hAnsi="仿宋" w:eastAsia="仿宋" w:cs="宋体"/>
                <w:b/>
                <w:color w:val="000000"/>
                <w:kern w:val="0"/>
                <w:szCs w:val="21"/>
              </w:rPr>
            </w:pPr>
          </w:p>
        </w:tc>
        <w:tc>
          <w:tcPr>
            <w:tcW w:w="1110" w:type="dxa"/>
            <w:noWrap w:val="0"/>
            <w:vAlign w:val="center"/>
          </w:tcPr>
          <w:p>
            <w:pPr>
              <w:suppressAutoHyphens w:val="0"/>
              <w:spacing w:line="276" w:lineRule="auto"/>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服务承诺</w:t>
            </w:r>
          </w:p>
          <w:p>
            <w:pPr>
              <w:suppressAutoHyphens w:val="0"/>
              <w:spacing w:line="276" w:lineRule="auto"/>
              <w:jc w:val="center"/>
              <w:rPr>
                <w:rFonts w:hint="eastAsia" w:ascii="仿宋" w:hAnsi="仿宋" w:eastAsia="仿宋" w:cs="宋体"/>
                <w:b/>
                <w:color w:val="000000"/>
                <w:kern w:val="0"/>
                <w:sz w:val="21"/>
                <w:szCs w:val="21"/>
                <w:lang w:val="en-US" w:eastAsia="zh-CN" w:bidi="ar-SA"/>
              </w:rPr>
            </w:pP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10分</w:t>
            </w:r>
            <w:r>
              <w:rPr>
                <w:rFonts w:hint="eastAsia" w:ascii="仿宋" w:hAnsi="仿宋" w:eastAsia="仿宋" w:cs="宋体"/>
                <w:b/>
                <w:color w:val="000000"/>
                <w:kern w:val="0"/>
                <w:szCs w:val="21"/>
                <w:lang w:eastAsia="zh-CN"/>
              </w:rPr>
              <w:t>）</w:t>
            </w:r>
          </w:p>
        </w:tc>
        <w:tc>
          <w:tcPr>
            <w:tcW w:w="5355" w:type="dxa"/>
            <w:noWrap w:val="0"/>
            <w:vAlign w:val="center"/>
          </w:tcPr>
          <w:p>
            <w:pPr>
              <w:widowControl/>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735" w:type="dxa"/>
            <w:noWrap w:val="0"/>
            <w:vAlign w:val="center"/>
          </w:tcPr>
          <w:p>
            <w:pPr>
              <w:suppressAutoHyphens w:val="0"/>
              <w:spacing w:line="276" w:lineRule="auto"/>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10</w:t>
            </w:r>
          </w:p>
        </w:tc>
      </w:tr>
    </w:tbl>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mU3YzRmZWU0OWZlODU4NGZiNjg5ZTA1MmI5NTM5ZD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056F3BC2"/>
    <w:rsid w:val="4BEF5F9E"/>
    <w:rsid w:val="534A4F32"/>
    <w:rsid w:val="7EFF83E7"/>
    <w:rsid w:val="ADBB19D4"/>
    <w:rsid w:val="D7FFFEB3"/>
    <w:rsid w:val="EFEEB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admin</cp:lastModifiedBy>
  <dcterms:modified xsi:type="dcterms:W3CDTF">2024-04-09T15:06:41Z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189391B2307B423298B6AE01DEE99B7E_12</vt:lpwstr>
  </property>
</Properties>
</file>