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黑体_GBK" w:hAnsi="方正黑体_GBK" w:eastAsia="方正黑体_GBK" w:cs="方正黑体_GBK"/>
          <w:b/>
          <w:bCs/>
          <w:sz w:val="36"/>
          <w:szCs w:val="32"/>
        </w:rPr>
      </w:pPr>
      <w:r>
        <w:rPr>
          <w:rFonts w:hint="eastAsia" w:ascii="方正黑体_GBK" w:hAnsi="方正黑体_GBK" w:eastAsia="方正黑体_GBK" w:cs="方正黑体_GBK"/>
          <w:b/>
          <w:bCs/>
          <w:sz w:val="36"/>
          <w:szCs w:val="32"/>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9"/>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w:t>
      </w:r>
      <w:r>
        <w:rPr>
          <w:rFonts w:hint="eastAsia" w:ascii="仿宋" w:hAnsi="仿宋" w:eastAsia="仿宋" w:cs="宋体"/>
          <w:bCs/>
          <w:color w:val="000000" w:themeColor="text1"/>
          <w:sz w:val="28"/>
          <w:szCs w:val="28"/>
        </w:rPr>
        <w:t>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rPr>
          <w:rFonts w:hint="eastAsia" w:ascii="仿宋" w:hAnsi="仿宋" w:eastAsia="仿宋" w:cs="宋体"/>
          <w:bCs/>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、成交供应商拒绝与采购人签订合同的，采购人可以按照评审报告推荐的成交候选人名单排序，确定下一候选人为成交供应商，也可以重新开展政府采购活动。</w:t>
      </w:r>
    </w:p>
    <w:p>
      <w:pPr>
        <w:spacing w:line="360" w:lineRule="auto"/>
        <w:rPr>
          <w:rFonts w:ascii="仿宋" w:hAnsi="仿宋" w:eastAsia="仿宋" w:cs="宋体"/>
          <w:b/>
          <w:bCs/>
          <w:color w:val="FF0000"/>
          <w:sz w:val="28"/>
          <w:szCs w:val="28"/>
        </w:rPr>
      </w:pPr>
    </w:p>
    <w:p>
      <w:pPr>
        <w:widowControl/>
        <w:jc w:val="left"/>
        <w:rPr>
          <w:rFonts w:ascii="仿宋" w:hAnsi="仿宋" w:eastAsia="仿宋" w:cs="宋体"/>
          <w:bCs/>
          <w:sz w:val="28"/>
          <w:szCs w:val="28"/>
        </w:rPr>
      </w:pPr>
      <w:r>
        <w:rPr>
          <w:rFonts w:ascii="仿宋" w:hAnsi="仿宋" w:eastAsia="仿宋" w:cs="宋体"/>
          <w:bCs/>
          <w:sz w:val="28"/>
          <w:szCs w:val="28"/>
        </w:rPr>
        <w:br w:type="page"/>
      </w:r>
    </w:p>
    <w:p>
      <w:pPr>
        <w:spacing w:line="360" w:lineRule="auto"/>
        <w:jc w:val="center"/>
        <w:rPr>
          <w:rFonts w:hint="eastAsia" w:ascii="方正黑体_GBK" w:hAnsi="方正黑体_GBK" w:eastAsia="方正黑体_GBK" w:cs="方正黑体_GBK"/>
          <w:b/>
          <w:bCs/>
          <w:sz w:val="36"/>
          <w:szCs w:val="32"/>
          <w:lang w:eastAsia="zh-CN"/>
        </w:rPr>
      </w:pPr>
      <w:r>
        <w:rPr>
          <w:rFonts w:hint="eastAsia" w:ascii="方正黑体_GBK" w:hAnsi="方正黑体_GBK" w:eastAsia="方正黑体_GBK" w:cs="方正黑体_GBK"/>
          <w:b/>
          <w:bCs/>
          <w:sz w:val="36"/>
          <w:szCs w:val="32"/>
        </w:rPr>
        <w:t>评分标准</w:t>
      </w:r>
      <w:r>
        <w:rPr>
          <w:rFonts w:hint="eastAsia" w:ascii="方正黑体_GBK" w:hAnsi="方正黑体_GBK" w:eastAsia="方正黑体_GBK" w:cs="方正黑体_GBK"/>
          <w:b/>
          <w:bCs/>
          <w:sz w:val="36"/>
          <w:szCs w:val="32"/>
          <w:lang w:eastAsia="zh-CN"/>
        </w:rPr>
        <w:t>和评分方法</w:t>
      </w:r>
    </w:p>
    <w:p>
      <w:pPr>
        <w:spacing w:line="302" w:lineRule="auto"/>
        <w:rPr>
          <w:rFonts w:ascii="宋体" w:hAnsi="宋体"/>
          <w:sz w:val="21"/>
          <w:szCs w:val="21"/>
        </w:rPr>
      </w:pPr>
      <w:r>
        <w:rPr>
          <w:rFonts w:hint="eastAsia" w:ascii="宋体" w:hAnsi="宋体"/>
          <w:sz w:val="21"/>
          <w:szCs w:val="21"/>
        </w:rPr>
        <w:t>1、评分方法：采用综合评分法，满分为</w:t>
      </w:r>
      <w:r>
        <w:rPr>
          <w:rFonts w:ascii="宋体" w:hAnsi="宋体"/>
          <w:sz w:val="21"/>
          <w:szCs w:val="21"/>
        </w:rPr>
        <w:t>100</w:t>
      </w:r>
      <w:r>
        <w:rPr>
          <w:rFonts w:hint="eastAsia" w:ascii="宋体" w:hAnsi="宋体"/>
          <w:sz w:val="21"/>
          <w:szCs w:val="21"/>
        </w:rPr>
        <w:t>分。</w:t>
      </w:r>
    </w:p>
    <w:p>
      <w:pPr>
        <w:spacing w:line="302" w:lineRule="auto"/>
        <w:rPr>
          <w:rFonts w:ascii="宋体" w:hAnsi="宋体"/>
          <w:sz w:val="21"/>
          <w:szCs w:val="21"/>
        </w:rPr>
      </w:pPr>
      <w:r>
        <w:rPr>
          <w:rFonts w:hint="eastAsia" w:ascii="宋体" w:hAnsi="宋体"/>
          <w:sz w:val="21"/>
          <w:szCs w:val="21"/>
        </w:rPr>
        <w:t>2、价格分采用低价优先法计算，即满足遴选文件要求且报价最低的报价为评标基准价，其价格分为满分，其他</w:t>
      </w:r>
      <w:r>
        <w:rPr>
          <w:rFonts w:hint="eastAsia" w:ascii="宋体" w:hAnsi="宋体"/>
          <w:sz w:val="21"/>
          <w:szCs w:val="21"/>
          <w:lang w:eastAsia="zh-CN"/>
        </w:rPr>
        <w:t>供应商</w:t>
      </w:r>
      <w:r>
        <w:rPr>
          <w:rFonts w:hint="eastAsia" w:ascii="宋体" w:hAnsi="宋体"/>
          <w:sz w:val="21"/>
          <w:szCs w:val="21"/>
        </w:rPr>
        <w:t>的价格分统一按下列公式计算：</w:t>
      </w:r>
    </w:p>
    <w:p>
      <w:pPr>
        <w:spacing w:line="302" w:lineRule="auto"/>
        <w:rPr>
          <w:rFonts w:ascii="宋体" w:hAnsi="宋体"/>
          <w:sz w:val="21"/>
          <w:szCs w:val="21"/>
        </w:rPr>
      </w:pPr>
      <w:r>
        <w:rPr>
          <w:rFonts w:hint="eastAsia" w:ascii="宋体" w:hAnsi="宋体"/>
          <w:sz w:val="21"/>
          <w:szCs w:val="21"/>
        </w:rPr>
        <w:t>报价得分=（评标基准价/报价）×价格权值×100。</w:t>
      </w:r>
    </w:p>
    <w:p>
      <w:pPr>
        <w:spacing w:line="302" w:lineRule="auto"/>
        <w:rPr>
          <w:rFonts w:ascii="宋体" w:hAnsi="宋体"/>
          <w:sz w:val="21"/>
          <w:szCs w:val="21"/>
        </w:rPr>
      </w:pPr>
      <w:r>
        <w:rPr>
          <w:rFonts w:hint="eastAsia" w:ascii="宋体" w:hAnsi="宋体"/>
          <w:sz w:val="21"/>
          <w:szCs w:val="21"/>
        </w:rPr>
        <w:t>3、最低报价不作为成交保证。</w:t>
      </w:r>
    </w:p>
    <w:p>
      <w:pPr>
        <w:widowControl/>
        <w:adjustRightInd/>
        <w:spacing w:line="400" w:lineRule="exact"/>
        <w:jc w:val="both"/>
        <w:textAlignment w:val="auto"/>
        <w:rPr>
          <w:rFonts w:ascii="宋体" w:hAnsi="宋体"/>
          <w:sz w:val="21"/>
          <w:szCs w:val="21"/>
        </w:rPr>
      </w:pPr>
      <w:r>
        <w:rPr>
          <w:rFonts w:hint="eastAsia" w:ascii="宋体" w:hAnsi="宋体"/>
          <w:sz w:val="21"/>
          <w:szCs w:val="21"/>
        </w:rPr>
        <w:t>4、本项目对属于小型和微型企业的</w:t>
      </w:r>
      <w:r>
        <w:rPr>
          <w:rFonts w:hint="eastAsia" w:ascii="宋体" w:hAnsi="宋体"/>
          <w:sz w:val="21"/>
          <w:szCs w:val="21"/>
          <w:lang w:eastAsia="zh-CN"/>
        </w:rPr>
        <w:t>供应商</w:t>
      </w:r>
      <w:r>
        <w:rPr>
          <w:rFonts w:hint="eastAsia" w:ascii="宋体" w:hAnsi="宋体"/>
          <w:sz w:val="21"/>
          <w:szCs w:val="21"/>
        </w:rPr>
        <w:t>的报价给予6%的扣除，用扣除后的价格参与评审。</w:t>
      </w:r>
    </w:p>
    <w:p>
      <w:pPr>
        <w:widowControl/>
        <w:adjustRightInd/>
        <w:spacing w:line="400" w:lineRule="exact"/>
        <w:jc w:val="both"/>
        <w:textAlignment w:val="auto"/>
        <w:rPr>
          <w:rFonts w:hint="eastAsia" w:ascii="方正黑体_GBK" w:hAnsi="方正黑体_GBK" w:eastAsia="方正黑体_GBK" w:cs="方正黑体_GBK"/>
          <w:b/>
          <w:bCs/>
          <w:sz w:val="36"/>
          <w:szCs w:val="32"/>
        </w:rPr>
      </w:pPr>
      <w:r>
        <w:rPr>
          <w:rFonts w:hint="eastAsia" w:ascii="宋体" w:hAnsi="宋体"/>
          <w:sz w:val="21"/>
          <w:szCs w:val="21"/>
        </w:rPr>
        <w:t>5、具体评分标准：</w:t>
      </w:r>
    </w:p>
    <w:tbl>
      <w:tblPr>
        <w:tblStyle w:val="9"/>
        <w:tblpPr w:leftFromText="180" w:rightFromText="180" w:vertAnchor="text" w:horzAnchor="page" w:tblpX="1685" w:tblpY="329"/>
        <w:tblOverlap w:val="never"/>
        <w:tblW w:w="9214" w:type="dxa"/>
        <w:tblInd w:w="0" w:type="dxa"/>
        <w:tblLayout w:type="fixed"/>
        <w:tblCellMar>
          <w:top w:w="0" w:type="dxa"/>
          <w:left w:w="108" w:type="dxa"/>
          <w:bottom w:w="0" w:type="dxa"/>
          <w:right w:w="108" w:type="dxa"/>
        </w:tblCellMar>
      </w:tblPr>
      <w:tblGrid>
        <w:gridCol w:w="490"/>
        <w:gridCol w:w="1033"/>
        <w:gridCol w:w="1137"/>
        <w:gridCol w:w="5796"/>
        <w:gridCol w:w="758"/>
      </w:tblGrid>
      <w:tr>
        <w:tblPrEx>
          <w:tblCellMar>
            <w:top w:w="0" w:type="dxa"/>
            <w:left w:w="108" w:type="dxa"/>
            <w:bottom w:w="0" w:type="dxa"/>
            <w:right w:w="108" w:type="dxa"/>
          </w:tblCellMar>
        </w:tblPrEx>
        <w:trPr>
          <w:trHeight w:val="330" w:hRule="atLeast"/>
        </w:trPr>
        <w:tc>
          <w:tcPr>
            <w:tcW w:w="49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序号</w:t>
            </w:r>
          </w:p>
        </w:tc>
        <w:tc>
          <w:tcPr>
            <w:tcW w:w="2170" w:type="dxa"/>
            <w:gridSpan w:val="2"/>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评审因素</w:t>
            </w:r>
          </w:p>
        </w:tc>
        <w:tc>
          <w:tcPr>
            <w:tcW w:w="5796" w:type="dxa"/>
            <w:tcBorders>
              <w:top w:val="single" w:color="auto" w:sz="8" w:space="0"/>
              <w:left w:val="nil"/>
              <w:bottom w:val="single" w:color="auto" w:sz="4"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评分标准说明</w:t>
            </w:r>
          </w:p>
        </w:tc>
        <w:tc>
          <w:tcPr>
            <w:tcW w:w="758" w:type="dxa"/>
            <w:tcBorders>
              <w:top w:val="single" w:color="auto" w:sz="8" w:space="0"/>
              <w:left w:val="nil"/>
              <w:bottom w:val="single" w:color="auto" w:sz="8" w:space="0"/>
              <w:right w:val="single" w:color="auto" w:sz="8" w:space="0"/>
            </w:tcBorders>
            <w:noWrap w:val="0"/>
            <w:vAlign w:val="center"/>
          </w:tcPr>
          <w:p>
            <w:pPr>
              <w:widowControl/>
              <w:jc w:val="center"/>
              <w:rPr>
                <w:rFonts w:ascii="宋体" w:hAnsi="宋体" w:cs="宋体"/>
                <w:b/>
                <w:bCs/>
                <w:color w:val="000000"/>
                <w:sz w:val="18"/>
                <w:szCs w:val="18"/>
              </w:rPr>
            </w:pPr>
            <w:r>
              <w:rPr>
                <w:rFonts w:hint="eastAsia" w:ascii="宋体" w:hAnsi="宋体" w:cs="宋体"/>
                <w:b/>
                <w:bCs/>
                <w:color w:val="000000"/>
                <w:sz w:val="18"/>
                <w:szCs w:val="18"/>
              </w:rPr>
              <w:t>分值</w:t>
            </w:r>
          </w:p>
        </w:tc>
      </w:tr>
      <w:tr>
        <w:tblPrEx>
          <w:tblCellMar>
            <w:top w:w="0" w:type="dxa"/>
            <w:left w:w="108" w:type="dxa"/>
            <w:bottom w:w="0" w:type="dxa"/>
            <w:right w:w="108" w:type="dxa"/>
          </w:tblCellMar>
        </w:tblPrEx>
        <w:trPr>
          <w:trHeight w:val="913" w:hRule="atLeast"/>
        </w:trPr>
        <w:tc>
          <w:tcPr>
            <w:tcW w:w="490" w:type="dxa"/>
            <w:vMerge w:val="restart"/>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1</w:t>
            </w:r>
          </w:p>
        </w:tc>
        <w:tc>
          <w:tcPr>
            <w:tcW w:w="103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商务部分</w:t>
            </w:r>
            <w:r>
              <w:rPr>
                <w:rFonts w:hint="eastAsia" w:ascii="仿宋_GB2312" w:hAnsi="仿宋_GB2312" w:eastAsia="仿宋_GB2312" w:cs="仿宋_GB2312"/>
                <w:color w:val="000000"/>
                <w:sz w:val="18"/>
                <w:szCs w:val="18"/>
              </w:rPr>
              <w:br w:type="textWrapping"/>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val="en-US" w:eastAsia="zh-CN"/>
              </w:rPr>
              <w:t>30</w:t>
            </w:r>
            <w:r>
              <w:rPr>
                <w:rFonts w:hint="eastAsia" w:ascii="仿宋_GB2312" w:hAnsi="仿宋_GB2312" w:eastAsia="仿宋_GB2312" w:cs="仿宋_GB2312"/>
                <w:color w:val="000000"/>
                <w:sz w:val="18"/>
                <w:szCs w:val="18"/>
              </w:rPr>
              <w:t>分）</w:t>
            </w:r>
          </w:p>
        </w:tc>
        <w:tc>
          <w:tcPr>
            <w:tcW w:w="113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供应商业绩评价</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30</w:t>
            </w:r>
            <w:r>
              <w:rPr>
                <w:rFonts w:hint="eastAsia" w:ascii="仿宋_GB2312" w:hAnsi="仿宋_GB2312" w:eastAsia="仿宋_GB2312" w:cs="仿宋_GB2312"/>
                <w:sz w:val="18"/>
                <w:szCs w:val="18"/>
              </w:rPr>
              <w:t>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bookmarkStart w:id="0" w:name="_GoBack"/>
            <w:bookmarkEnd w:id="0"/>
            <w:r>
              <w:rPr>
                <w:rFonts w:hint="eastAsia" w:ascii="仿宋_GB2312" w:hAnsi="仿宋_GB2312" w:eastAsia="仿宋_GB2312" w:cs="仿宋_GB2312"/>
                <w:sz w:val="18"/>
                <w:szCs w:val="18"/>
                <w:lang w:eastAsia="zh-CN"/>
              </w:rPr>
              <w:t>2021-2023年</w:t>
            </w:r>
            <w:r>
              <w:rPr>
                <w:rFonts w:hint="eastAsia" w:ascii="仿宋_GB2312" w:hAnsi="仿宋_GB2312" w:eastAsia="仿宋_GB2312" w:cs="仿宋_GB2312"/>
                <w:sz w:val="18"/>
                <w:szCs w:val="18"/>
              </w:rPr>
              <w:t>供应商接受卫生健康部门委托的项目支出绩效评价或绩效审计、评审咨询业务、绩效监控业务情况。每提供1份业绩得4分，最多20分。（注：供应商必须提供合同关键页复印件等相关证明材料）</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0-20</w:t>
            </w:r>
          </w:p>
        </w:tc>
      </w:tr>
      <w:tr>
        <w:tblPrEx>
          <w:tblCellMar>
            <w:top w:w="0" w:type="dxa"/>
            <w:left w:w="108" w:type="dxa"/>
            <w:bottom w:w="0" w:type="dxa"/>
            <w:right w:w="108" w:type="dxa"/>
          </w:tblCellMar>
        </w:tblPrEx>
        <w:trPr>
          <w:trHeight w:val="1289" w:hRule="atLeast"/>
        </w:trPr>
        <w:tc>
          <w:tcPr>
            <w:tcW w:w="490" w:type="dxa"/>
            <w:vMerge w:val="continue"/>
            <w:tcBorders>
              <w:top w:val="nil"/>
              <w:left w:val="single" w:color="auto" w:sz="8" w:space="0"/>
              <w:bottom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2021-2023年</w:t>
            </w:r>
            <w:r>
              <w:rPr>
                <w:rFonts w:hint="eastAsia" w:ascii="仿宋_GB2312" w:hAnsi="仿宋_GB2312" w:eastAsia="仿宋_GB2312" w:cs="仿宋_GB2312"/>
                <w:sz w:val="18"/>
                <w:szCs w:val="18"/>
              </w:rPr>
              <w:t>供应商接受卫生健康部门委托的财务审计、专项审计业务情况。每提供1份业绩得2分，最多10分。（注：供应商必须提供合同关键页复印件等相关证明材料）</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0-10</w:t>
            </w:r>
          </w:p>
        </w:tc>
      </w:tr>
      <w:tr>
        <w:tblPrEx>
          <w:tblCellMar>
            <w:top w:w="0" w:type="dxa"/>
            <w:left w:w="108" w:type="dxa"/>
            <w:bottom w:w="0" w:type="dxa"/>
            <w:right w:w="108" w:type="dxa"/>
          </w:tblCellMar>
        </w:tblPrEx>
        <w:trPr>
          <w:trHeight w:val="420" w:hRule="atLeast"/>
        </w:trPr>
        <w:tc>
          <w:tcPr>
            <w:tcW w:w="490" w:type="dxa"/>
            <w:vMerge w:val="restart"/>
            <w:tcBorders>
              <w:top w:val="nil"/>
              <w:left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2</w:t>
            </w:r>
          </w:p>
        </w:tc>
        <w:tc>
          <w:tcPr>
            <w:tcW w:w="1033"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技术部分（6</w:t>
            </w: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分）</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服务方案（45分）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考虑供应商提供的全过程绩效监控工作方案，对工作方案中项目业务理解、工作重点及总体实施程序、工作原则及技术方法、项目业务培训、现场核查调研方案、拟提交的成果、风险及不定因素分析、项目质量控制及进度控制、保密措施及其它内容进行评审。</w:t>
            </w:r>
          </w:p>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方案完整度高，工作管理模式完善先进，工作程序的科学性、针对性、严谨性、可执行性强：40-45分；</w:t>
            </w:r>
          </w:p>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方案完整度较高，工作管理模式较完善先进，工作程序的科学性、针对性、严谨性、可执行性较强：30-39分；</w:t>
            </w:r>
          </w:p>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方案完整度一般，工作管理模式基本完善，工作程序的科学性、针对性、严谨性、可执行性一般：20-29分；</w:t>
            </w:r>
          </w:p>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方案完整度较低，工作管理模式有所欠缺，工作程序的科学性、针对性、严谨性、可执行性较弱：10-19分；</w:t>
            </w:r>
          </w:p>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方案完整度低，工作管理模式欠缺较多，工作程序的科学性、针对性、严谨性、可执行性弱：1-9分；</w:t>
            </w:r>
          </w:p>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未提供该方案：0分。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0-45</w:t>
            </w:r>
          </w:p>
        </w:tc>
      </w:tr>
      <w:tr>
        <w:tblPrEx>
          <w:tblCellMar>
            <w:top w:w="0" w:type="dxa"/>
            <w:left w:w="108" w:type="dxa"/>
            <w:bottom w:w="0" w:type="dxa"/>
            <w:right w:w="108" w:type="dxa"/>
          </w:tblCellMar>
        </w:tblPrEx>
        <w:trPr>
          <w:trHeight w:val="420" w:hRule="atLeast"/>
        </w:trPr>
        <w:tc>
          <w:tcPr>
            <w:tcW w:w="490" w:type="dxa"/>
            <w:vMerge w:val="continue"/>
            <w:tcBorders>
              <w:left w:val="single" w:color="auto" w:sz="8" w:space="0"/>
              <w:right w:val="single" w:color="auto" w:sz="4" w:space="0"/>
            </w:tcBorders>
            <w:noWrap w:val="0"/>
            <w:vAlign w:val="center"/>
          </w:tcPr>
          <w:p>
            <w:pPr>
              <w:widowControl/>
              <w:jc w:val="center"/>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18"/>
                <w:szCs w:val="18"/>
              </w:rPr>
            </w:pPr>
          </w:p>
        </w:tc>
        <w:tc>
          <w:tcPr>
            <w:tcW w:w="113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项目团队（10分）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根据供应商拟投入的项目团队人员结构、专业配备、职责分工等进行评审：</w:t>
            </w:r>
          </w:p>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1）项目团队人员配备合理可行、专业性强，职责分工明确，得6分；</w:t>
            </w:r>
          </w:p>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2）项目团队人员配备基本合理可行、专业性一般，职责分工一般，得3分；</w:t>
            </w:r>
          </w:p>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lang w:eastAsia="zh-CN"/>
              </w:rPr>
              <w:t>）未提供人员配备情况的，得0分。</w:t>
            </w:r>
          </w:p>
          <w:p>
            <w:pPr>
              <w:widowControl/>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lang w:eastAsia="zh-CN"/>
              </w:rPr>
              <w:t>（须提供每个团队成员简历、劳动合同证明、相关资质证书（如有），否则不计分。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0-6</w:t>
            </w:r>
          </w:p>
        </w:tc>
      </w:tr>
      <w:tr>
        <w:tblPrEx>
          <w:tblCellMar>
            <w:top w:w="0" w:type="dxa"/>
            <w:left w:w="108" w:type="dxa"/>
            <w:bottom w:w="0" w:type="dxa"/>
            <w:right w:w="108" w:type="dxa"/>
          </w:tblCellMar>
        </w:tblPrEx>
        <w:trPr>
          <w:trHeight w:val="163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供应商每选派1名具有注册会计师资格证书的注册会计师得1分，最高得4分。</w:t>
            </w:r>
          </w:p>
          <w:p>
            <w:pPr>
              <w:widowControl/>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注：需提供人员简历、相关资质证明、劳动合同，否则不予认可。</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0-4</w:t>
            </w:r>
          </w:p>
        </w:tc>
      </w:tr>
      <w:tr>
        <w:tblPrEx>
          <w:tblCellMar>
            <w:top w:w="0" w:type="dxa"/>
            <w:left w:w="108" w:type="dxa"/>
            <w:bottom w:w="0" w:type="dxa"/>
            <w:right w:w="108" w:type="dxa"/>
          </w:tblCellMar>
        </w:tblPrEx>
        <w:trPr>
          <w:trHeight w:val="2355" w:hRule="atLeast"/>
        </w:trPr>
        <w:tc>
          <w:tcPr>
            <w:tcW w:w="490" w:type="dxa"/>
            <w:vMerge w:val="continue"/>
            <w:tcBorders>
              <w:left w:val="single" w:color="auto" w:sz="8" w:space="0"/>
              <w:right w:val="single" w:color="auto" w:sz="4" w:space="0"/>
            </w:tcBorders>
            <w:noWrap w:val="0"/>
            <w:vAlign w:val="center"/>
          </w:tcPr>
          <w:p>
            <w:pPr>
              <w:widowControl/>
              <w:rPr>
                <w:rFonts w:ascii="宋体" w:hAnsi="宋体" w:cs="Arial"/>
                <w:color w:val="000000"/>
                <w:sz w:val="18"/>
                <w:szCs w:val="18"/>
              </w:rPr>
            </w:pPr>
          </w:p>
        </w:tc>
        <w:tc>
          <w:tcPr>
            <w:tcW w:w="1033" w:type="dxa"/>
            <w:vMerge w:val="continue"/>
            <w:tcBorders>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color w:val="000000"/>
                <w:sz w:val="18"/>
                <w:szCs w:val="18"/>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进度保证</w:t>
            </w:r>
          </w:p>
          <w:p>
            <w:pPr>
              <w:widowControl/>
              <w:jc w:val="center"/>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（5分）</w:t>
            </w:r>
          </w:p>
        </w:tc>
        <w:tc>
          <w:tcPr>
            <w:tcW w:w="579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仿宋_GB2312" w:hAnsi="仿宋_GB2312" w:eastAsia="仿宋_GB2312" w:cs="仿宋_GB2312"/>
                <w:i w:val="0"/>
                <w:color w:val="000000"/>
                <w:kern w:val="0"/>
                <w:sz w:val="18"/>
                <w:szCs w:val="18"/>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SA"/>
              </w:rPr>
              <w:t>根据竞争性磋商文件要求，对供应商提供的进度安排进行评价：工作进度安排合理可行，工作流程详尽、时间保障措施完备得5分，工作进度安排合理可行性一般，工作流程基本详尽、时间保障措施完备性一般得3分，未提供进度安排得0分。</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0-5</w:t>
            </w:r>
          </w:p>
        </w:tc>
      </w:tr>
      <w:tr>
        <w:tblPrEx>
          <w:tblCellMar>
            <w:top w:w="0" w:type="dxa"/>
            <w:left w:w="108" w:type="dxa"/>
            <w:bottom w:w="0" w:type="dxa"/>
            <w:right w:w="108" w:type="dxa"/>
          </w:tblCellMar>
        </w:tblPrEx>
        <w:trPr>
          <w:trHeight w:val="510" w:hRule="atLeast"/>
        </w:trPr>
        <w:tc>
          <w:tcPr>
            <w:tcW w:w="490" w:type="dxa"/>
            <w:tcBorders>
              <w:top w:val="nil"/>
              <w:left w:val="single" w:color="auto" w:sz="8" w:space="0"/>
              <w:bottom w:val="single" w:color="auto" w:sz="8" w:space="0"/>
              <w:right w:val="single" w:color="auto" w:sz="4" w:space="0"/>
            </w:tcBorders>
            <w:noWrap w:val="0"/>
            <w:vAlign w:val="center"/>
          </w:tcPr>
          <w:p>
            <w:pPr>
              <w:widowControl/>
              <w:jc w:val="center"/>
              <w:rPr>
                <w:rFonts w:ascii="宋体" w:hAnsi="宋体" w:cs="Arial"/>
                <w:color w:val="000000"/>
                <w:sz w:val="18"/>
                <w:szCs w:val="18"/>
              </w:rPr>
            </w:pPr>
            <w:r>
              <w:rPr>
                <w:rFonts w:ascii="宋体" w:hAnsi="宋体" w:cs="Arial"/>
                <w:color w:val="000000"/>
                <w:sz w:val="18"/>
                <w:szCs w:val="18"/>
              </w:rPr>
              <w:t>3</w:t>
            </w:r>
          </w:p>
        </w:tc>
        <w:tc>
          <w:tcPr>
            <w:tcW w:w="103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投标报价（10分）</w:t>
            </w:r>
          </w:p>
        </w:tc>
        <w:tc>
          <w:tcPr>
            <w:tcW w:w="69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报价得分=（评标基准价/报价）×价格权值×100</w:t>
            </w:r>
          </w:p>
        </w:tc>
        <w:tc>
          <w:tcPr>
            <w:tcW w:w="758" w:type="dxa"/>
            <w:tcBorders>
              <w:top w:val="nil"/>
              <w:left w:val="single" w:color="auto" w:sz="4" w:space="0"/>
              <w:bottom w:val="single" w:color="auto" w:sz="8" w:space="0"/>
              <w:right w:val="single" w:color="auto" w:sz="8" w:space="0"/>
            </w:tcBorders>
            <w:noWrap w:val="0"/>
            <w:vAlign w:val="center"/>
          </w:tcPr>
          <w:p>
            <w:pPr>
              <w:widowControl/>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0-</w:t>
            </w:r>
            <w:r>
              <w:rPr>
                <w:rFonts w:hint="eastAsia" w:ascii="仿宋_GB2312" w:hAnsi="仿宋_GB2312" w:eastAsia="仿宋_GB2312" w:cs="仿宋_GB2312"/>
                <w:color w:val="000000"/>
                <w:sz w:val="18"/>
                <w:szCs w:val="18"/>
              </w:rPr>
              <w:t>10</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JjOTQxYzhjODMyMDAzZmE0MDJkMWFkNmJlNDkwYTU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6EFD077"/>
    <w:rsid w:val="1FF7C9F3"/>
    <w:rsid w:val="37FA1A10"/>
    <w:rsid w:val="3EFB10D2"/>
    <w:rsid w:val="473506D4"/>
    <w:rsid w:val="4EFF4872"/>
    <w:rsid w:val="5AF10265"/>
    <w:rsid w:val="6F57F168"/>
    <w:rsid w:val="7B0E37B1"/>
    <w:rsid w:val="7EBB8D2D"/>
    <w:rsid w:val="EFBF653F"/>
    <w:rsid w:val="F5BB97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480" w:firstLineChars="200"/>
    </w:pPr>
  </w:style>
  <w:style w:type="paragraph" w:styleId="4">
    <w:name w:val="annotation text"/>
    <w:basedOn w:val="1"/>
    <w:link w:val="16"/>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autoRedefine/>
    <w:unhideWhenUsed/>
    <w:qFormat/>
    <w:uiPriority w:val="99"/>
    <w:rPr>
      <w:b/>
      <w:bCs/>
    </w:rPr>
  </w:style>
  <w:style w:type="character" w:styleId="11">
    <w:name w:val="annotation reference"/>
    <w:basedOn w:val="10"/>
    <w:autoRedefine/>
    <w:unhideWhenUsed/>
    <w:qFormat/>
    <w:uiPriority w:val="99"/>
    <w:rPr>
      <w:sz w:val="21"/>
      <w:szCs w:val="21"/>
    </w:rPr>
  </w:style>
  <w:style w:type="paragraph" w:customStyle="1" w:styleId="12">
    <w:name w:val="List Paragraph"/>
    <w:basedOn w:val="1"/>
    <w:link w:val="15"/>
    <w:autoRedefine/>
    <w:qFormat/>
    <w:uiPriority w:val="34"/>
    <w:pPr>
      <w:ind w:firstLine="420" w:firstLineChars="200"/>
    </w:pPr>
    <w:rPr>
      <w:rFonts w:ascii="Calibri" w:hAnsi="Calibri"/>
    </w:rPr>
  </w:style>
  <w:style w:type="character" w:customStyle="1" w:styleId="13">
    <w:name w:val="页眉 Char"/>
    <w:basedOn w:val="10"/>
    <w:link w:val="7"/>
    <w:autoRedefine/>
    <w:qFormat/>
    <w:uiPriority w:val="99"/>
    <w:rPr>
      <w:sz w:val="18"/>
      <w:szCs w:val="18"/>
    </w:rPr>
  </w:style>
  <w:style w:type="character" w:customStyle="1" w:styleId="14">
    <w:name w:val="页脚 Char"/>
    <w:basedOn w:val="10"/>
    <w:link w:val="6"/>
    <w:autoRedefine/>
    <w:qFormat/>
    <w:uiPriority w:val="99"/>
    <w:rPr>
      <w:sz w:val="18"/>
      <w:szCs w:val="18"/>
    </w:rPr>
  </w:style>
  <w:style w:type="character" w:customStyle="1" w:styleId="15">
    <w:name w:val="列出段落 Char"/>
    <w:link w:val="12"/>
    <w:autoRedefine/>
    <w:qFormat/>
    <w:uiPriority w:val="34"/>
    <w:rPr>
      <w:rFonts w:ascii="Calibri" w:hAnsi="Calibri"/>
    </w:rPr>
  </w:style>
  <w:style w:type="character" w:customStyle="1" w:styleId="16">
    <w:name w:val="批注文字 Char"/>
    <w:basedOn w:val="10"/>
    <w:link w:val="4"/>
    <w:autoRedefine/>
    <w:semiHidden/>
    <w:qFormat/>
    <w:uiPriority w:val="99"/>
  </w:style>
  <w:style w:type="character" w:customStyle="1" w:styleId="17">
    <w:name w:val="批注主题 Char"/>
    <w:basedOn w:val="16"/>
    <w:link w:val="8"/>
    <w:autoRedefine/>
    <w:semiHidden/>
    <w:qFormat/>
    <w:uiPriority w:val="99"/>
    <w:rPr>
      <w:b/>
      <w:bCs/>
    </w:rPr>
  </w:style>
  <w:style w:type="character" w:customStyle="1" w:styleId="18">
    <w:name w:val="批注框文本 Char"/>
    <w:basedOn w:val="10"/>
    <w:link w:val="5"/>
    <w:autoRedefine/>
    <w:semiHidden/>
    <w:qFormat/>
    <w:uiPriority w:val="99"/>
    <w:rPr>
      <w:sz w:val="18"/>
      <w:szCs w:val="18"/>
    </w:rPr>
  </w:style>
  <w:style w:type="character" w:customStyle="1" w:styleId="19">
    <w:name w:val="font31"/>
    <w:basedOn w:val="10"/>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2022-04-21T12:00:00Z</dcterms:created>
  <dc:creator>强文晓</dc:creator>
  <cp:lastModifiedBy>LYL</cp:lastModifiedBy>
  <cp:lastPrinted>2022-05-25T23:59:00Z</cp:lastPrinted>
  <dcterms:modified xsi:type="dcterms:W3CDTF">2024-02-21T03:10:54Z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F2FCB304150548438E6781E054BBE9CE_12</vt:lpwstr>
  </property>
</Properties>
</file>