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w:t>
      </w:r>
      <w:r>
        <w:rPr>
          <w:rFonts w:hint="eastAsia" w:ascii="仿宋" w:hAnsi="仿宋" w:eastAsia="仿宋" w:cs="宋体"/>
          <w:bCs/>
          <w:sz w:val="28"/>
          <w:szCs w:val="28"/>
        </w:rPr>
        <w:t>交候选</w:t>
      </w:r>
      <w:bookmarkStart w:id="0" w:name="_GoBack"/>
      <w:bookmarkEnd w:id="0"/>
      <w:r>
        <w:rPr>
          <w:rFonts w:hint="eastAsia" w:ascii="仿宋" w:hAnsi="仿宋" w:eastAsia="仿宋" w:cs="宋体"/>
          <w:bCs/>
          <w:sz w:val="28"/>
          <w:szCs w:val="28"/>
        </w:rPr>
        <w:t>人。由各业务处室最终决定成交申请人。评分分值计算保留小数点后两位，第三位四舍五入。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Cs/>
          <w:sz w:val="28"/>
          <w:szCs w:val="28"/>
        </w:rPr>
      </w:pPr>
      <w:r>
        <w:rPr>
          <w:rFonts w:ascii="仿宋" w:hAnsi="仿宋" w:eastAsia="仿宋" w:cs="宋体"/>
          <w:bCs/>
          <w:sz w:val="28"/>
          <w:szCs w:val="28"/>
        </w:rPr>
        <w:br w:type="page"/>
      </w:r>
    </w:p>
    <w:tbl>
      <w:tblPr>
        <w:tblStyle w:val="7"/>
        <w:tblpPr w:leftFromText="180" w:rightFromText="180" w:horzAnchor="margin" w:tblpY="786"/>
        <w:tblW w:w="8528" w:type="dxa"/>
        <w:tblInd w:w="0" w:type="dxa"/>
        <w:tblLayout w:type="fixed"/>
        <w:tblCellMar>
          <w:top w:w="0" w:type="dxa"/>
          <w:left w:w="108" w:type="dxa"/>
          <w:bottom w:w="0" w:type="dxa"/>
          <w:right w:w="108" w:type="dxa"/>
        </w:tblCellMar>
      </w:tblPr>
      <w:tblGrid>
        <w:gridCol w:w="1003"/>
        <w:gridCol w:w="1344"/>
        <w:gridCol w:w="4798"/>
        <w:gridCol w:w="1383"/>
      </w:tblGrid>
      <w:tr>
        <w:tblPrEx>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w:t>
            </w:r>
            <w:r>
              <w:rPr>
                <w:rFonts w:hint="eastAsia" w:ascii="仿宋" w:hAnsi="仿宋" w:eastAsia="仿宋" w:cs="宋体"/>
                <w:color w:val="FF0000"/>
                <w:kern w:val="0"/>
                <w:sz w:val="18"/>
                <w:szCs w:val="18"/>
              </w:rPr>
              <w:t>20</w:t>
            </w:r>
            <w:r>
              <w:rPr>
                <w:rFonts w:hint="eastAsia" w:ascii="仿宋" w:hAnsi="仿宋" w:eastAsia="仿宋" w:cs="宋体"/>
                <w:color w:val="FF0000"/>
                <w:kern w:val="0"/>
                <w:sz w:val="18"/>
                <w:szCs w:val="18"/>
                <w:lang w:val="en-US" w:eastAsia="zh-CN"/>
              </w:rPr>
              <w:t>20</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方案科学合理性强、内容详细全面，可行性强,得13-20分；项目方案科学合理性较强、内容较为详细全面，可行性较好,得7-12分；项目方案科学合理、内容一般，有可行性,得1-6分；项目方案科学合理较差、内容不充实，可行性差,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w:t>
            </w:r>
          </w:p>
        </w:tc>
        <w:tc>
          <w:tcPr>
            <w:tcW w:w="4798" w:type="dxa"/>
            <w:tcBorders>
              <w:top w:val="nil"/>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拟投入本项目团队人员评价：</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（1）类似工作经验丰富，学历（专业）优于/符合要求，分工明确，与项目实际契合度高，得13-20分；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（2）类似工作经验较丰富，学历（专业）符合要求，分工较明确，与项目实际契合度较高，得7-12分；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（3）类似工作经验一般，学历（专业）基本满足要求，分工一般，与项目实际契合度一般，得1-6分；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（4）类似工作经验较差，学历（专业）较差，分工不明确，无法满足实际需要，得0分。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供应商质量管理体系健全，技术支持有保障，人员安排合理，能够在服务期内高质量完成合同要求。优秀的，得11-15分；良好的，得6-10分；一般的，得1-5分；较差的，得0分。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kern w:val="0"/>
                <w:sz w:val="18"/>
                <w:szCs w:val="18"/>
              </w:rPr>
            </w:pPr>
            <w:r>
              <w:rPr>
                <w:rFonts w:hint="eastAsia" w:ascii="仿宋" w:hAnsi="仿宋" w:eastAsia="仿宋"/>
                <w:kern w:val="0"/>
                <w:sz w:val="18"/>
                <w:szCs w:val="18"/>
              </w:rPr>
              <w:t>供应商须提供沟通机制，内容包括①服务人员安排②沟通方案，要求有专人定期沟通，配合。优秀的，得</w:t>
            </w:r>
            <w:r>
              <w:rPr>
                <w:rFonts w:ascii="仿宋" w:hAnsi="仿宋" w:eastAsia="仿宋"/>
                <w:kern w:val="0"/>
                <w:sz w:val="18"/>
                <w:szCs w:val="18"/>
              </w:rPr>
              <w:t>7-10</w:t>
            </w:r>
            <w:r>
              <w:rPr>
                <w:rFonts w:hint="eastAsia" w:ascii="仿宋" w:hAnsi="仿宋" w:eastAsia="仿宋"/>
                <w:kern w:val="0"/>
                <w:sz w:val="18"/>
                <w:szCs w:val="18"/>
              </w:rPr>
              <w:t>分；良好的，得</w:t>
            </w:r>
            <w:r>
              <w:rPr>
                <w:rFonts w:ascii="仿宋" w:hAnsi="仿宋" w:eastAsia="仿宋"/>
                <w:kern w:val="0"/>
                <w:sz w:val="18"/>
                <w:szCs w:val="18"/>
              </w:rPr>
              <w:t>4-6</w:t>
            </w:r>
            <w:r>
              <w:rPr>
                <w:rFonts w:hint="eastAsia" w:ascii="仿宋" w:hAnsi="仿宋" w:eastAsia="仿宋"/>
                <w:kern w:val="0"/>
                <w:sz w:val="18"/>
                <w:szCs w:val="18"/>
              </w:rPr>
              <w:t>分；一般的，得</w:t>
            </w:r>
            <w:r>
              <w:rPr>
                <w:rFonts w:ascii="仿宋" w:hAnsi="仿宋" w:eastAsia="仿宋"/>
                <w:kern w:val="0"/>
                <w:sz w:val="18"/>
                <w:szCs w:val="18"/>
              </w:rPr>
              <w:t>1-3</w:t>
            </w:r>
            <w:r>
              <w:rPr>
                <w:rFonts w:hint="eastAsia" w:ascii="仿宋" w:hAnsi="仿宋" w:eastAsia="仿宋"/>
                <w:kern w:val="0"/>
                <w:sz w:val="18"/>
                <w:szCs w:val="18"/>
              </w:rPr>
              <w:t>分；较差的，得</w:t>
            </w:r>
            <w:r>
              <w:rPr>
                <w:rFonts w:ascii="仿宋" w:hAnsi="仿宋" w:eastAsia="仿宋"/>
                <w:kern w:val="0"/>
                <w:sz w:val="18"/>
                <w:szCs w:val="18"/>
              </w:rPr>
              <w:t>0</w:t>
            </w:r>
            <w:r>
              <w:rPr>
                <w:rFonts w:hint="eastAsia" w:ascii="仿宋" w:hAnsi="仿宋" w:eastAsia="仿宋"/>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jFkN2Y0MzhhNjllODQ2ODc5ODgwNTI3Y2M5OGEzZjI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A06CCD"/>
    <w:rsid w:val="00B33D64"/>
    <w:rsid w:val="00B927D3"/>
    <w:rsid w:val="00BA4C9E"/>
    <w:rsid w:val="00C9270B"/>
    <w:rsid w:val="00CA49E3"/>
    <w:rsid w:val="00D875C2"/>
    <w:rsid w:val="00DB1122"/>
    <w:rsid w:val="00F5414E"/>
    <w:rsid w:val="00FF1677"/>
    <w:rsid w:val="0185358B"/>
    <w:rsid w:val="0B39782B"/>
    <w:rsid w:val="345E399F"/>
    <w:rsid w:val="37901184"/>
    <w:rsid w:val="398F7B2F"/>
    <w:rsid w:val="47350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link w:val="14"/>
    <w:autoRedefine/>
    <w:unhideWhenUsed/>
    <w:qFormat/>
    <w:uiPriority w:val="99"/>
    <w:pPr>
      <w:jc w:val="left"/>
    </w:pPr>
  </w:style>
  <w:style w:type="paragraph" w:styleId="3">
    <w:name w:val="Balloon Text"/>
    <w:basedOn w:val="1"/>
    <w:link w:val="16"/>
    <w:autoRedefine/>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unhideWhenUsed/>
    <w:qFormat/>
    <w:uiPriority w:val="99"/>
    <w:rPr>
      <w:b/>
      <w:bCs/>
    </w:rPr>
  </w:style>
  <w:style w:type="character" w:styleId="9">
    <w:name w:val="annotation reference"/>
    <w:basedOn w:val="8"/>
    <w:autoRedefine/>
    <w:unhideWhenUsed/>
    <w:qFormat/>
    <w:uiPriority w:val="99"/>
    <w:rPr>
      <w:sz w:val="21"/>
      <w:szCs w:val="21"/>
    </w:rPr>
  </w:style>
  <w:style w:type="paragraph" w:customStyle="1" w:styleId="10">
    <w:name w:val="列表段落1"/>
    <w:basedOn w:val="1"/>
    <w:link w:val="13"/>
    <w:qFormat/>
    <w:uiPriority w:val="34"/>
    <w:pPr>
      <w:ind w:firstLine="420" w:firstLineChars="200"/>
    </w:p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列出段落 Char"/>
    <w:link w:val="10"/>
    <w:autoRedefine/>
    <w:qFormat/>
    <w:uiPriority w:val="34"/>
    <w:rPr>
      <w:rFonts w:ascii="Calibri" w:hAnsi="Calibri"/>
    </w:rPr>
  </w:style>
  <w:style w:type="character" w:customStyle="1" w:styleId="14">
    <w:name w:val="批注文字 字符"/>
    <w:basedOn w:val="8"/>
    <w:link w:val="2"/>
    <w:autoRedefine/>
    <w:semiHidden/>
    <w:qFormat/>
    <w:uiPriority w:val="99"/>
  </w:style>
  <w:style w:type="character" w:customStyle="1" w:styleId="15">
    <w:name w:val="批注主题 字符"/>
    <w:basedOn w:val="14"/>
    <w:link w:val="6"/>
    <w:autoRedefine/>
    <w:semiHidden/>
    <w:qFormat/>
    <w:uiPriority w:val="99"/>
    <w:rPr>
      <w:b/>
      <w:bCs/>
    </w:rPr>
  </w:style>
  <w:style w:type="character" w:customStyle="1" w:styleId="16">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232</Words>
  <Characters>1329</Characters>
  <Lines>11</Lines>
  <Paragraphs>3</Paragraphs>
  <TotalTime>9</TotalTime>
  <ScaleCrop>false</ScaleCrop>
  <LinksUpToDate>false</LinksUpToDate>
  <CharactersWithSpaces>1558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2022-04-18T12:00:00Z</dcterms:created>
  <dc:creator>强文晓</dc:creator>
  <cp:lastModifiedBy>祈许</cp:lastModifiedBy>
  <dcterms:modified xsi:type="dcterms:W3CDTF">2024-03-29T01:22:23Z</dcterms:modified>
  <dc:title>申请人须知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AD05C765319247B9BA486E12171B65F6_12</vt:lpwstr>
  </property>
</Properties>
</file>