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附件2       </w:t>
      </w:r>
    </w:p>
    <w:p>
      <w:pPr>
        <w:spacing w:line="0" w:lineRule="atLeas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北京市卫生健康委员会投诉线索处理系统项目评分标准</w:t>
      </w:r>
    </w:p>
    <w:tbl>
      <w:tblPr>
        <w:tblStyle w:val="12"/>
        <w:tblpPr w:leftFromText="180" w:rightFromText="180" w:vertAnchor="page" w:horzAnchor="page" w:tblpX="638" w:tblpY="3048"/>
        <w:tblOverlap w:val="never"/>
        <w:tblW w:w="10093" w:type="dxa"/>
        <w:tblInd w:w="0" w:type="dxa"/>
        <w:tblLayout w:type="fixed"/>
        <w:tblCellMar>
          <w:top w:w="0" w:type="dxa"/>
          <w:left w:w="108" w:type="dxa"/>
          <w:bottom w:w="0" w:type="dxa"/>
          <w:right w:w="108" w:type="dxa"/>
        </w:tblCellMar>
      </w:tblPr>
      <w:tblGrid>
        <w:gridCol w:w="1188"/>
        <w:gridCol w:w="2126"/>
        <w:gridCol w:w="831"/>
        <w:gridCol w:w="5948"/>
      </w:tblGrid>
      <w:tr>
        <w:tblPrEx>
          <w:tblCellMar>
            <w:top w:w="0" w:type="dxa"/>
            <w:left w:w="108" w:type="dxa"/>
            <w:bottom w:w="0" w:type="dxa"/>
            <w:right w:w="108" w:type="dxa"/>
          </w:tblCellMar>
        </w:tblPrEx>
        <w:trPr>
          <w:trHeight w:val="714" w:hRule="atLeast"/>
        </w:trPr>
        <w:tc>
          <w:tcPr>
            <w:tcW w:w="1188" w:type="dxa"/>
            <w:tcBorders>
              <w:top w:val="single" w:color="000000" w:sz="8" w:space="0"/>
              <w:left w:val="single" w:color="000000" w:sz="8" w:space="0"/>
              <w:bottom w:val="single" w:color="000000" w:sz="4" w:space="0"/>
              <w:right w:val="single" w:color="000000" w:sz="8" w:space="0"/>
            </w:tcBorders>
            <w:shd w:val="clear" w:color="auto" w:fill="FFFFFF"/>
            <w:vAlign w:val="center"/>
          </w:tcPr>
          <w:p>
            <w:pPr>
              <w:spacing w:before="100" w:after="100" w:line="0" w:lineRule="atLeast"/>
              <w:jc w:val="both"/>
              <w:rPr>
                <w:rFonts w:ascii="宋体" w:hAnsi="宋体" w:eastAsia="宋体" w:cs="宋体"/>
                <w:b/>
                <w:szCs w:val="21"/>
              </w:rPr>
            </w:pPr>
            <w:r>
              <w:rPr>
                <w:rFonts w:hint="eastAsia" w:ascii="宋体" w:hAnsi="宋体" w:eastAsia="宋体"/>
                <w:b/>
                <w:szCs w:val="21"/>
              </w:rPr>
              <w:t>内容</w:t>
            </w:r>
          </w:p>
        </w:tc>
        <w:tc>
          <w:tcPr>
            <w:tcW w:w="2126" w:type="dxa"/>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宋体" w:hAnsi="宋体" w:eastAsia="宋体" w:cs="宋体"/>
                <w:b/>
                <w:szCs w:val="21"/>
              </w:rPr>
            </w:pPr>
            <w:r>
              <w:rPr>
                <w:rFonts w:hint="eastAsia" w:ascii="宋体" w:hAnsi="宋体" w:eastAsia="宋体"/>
                <w:b/>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宋体" w:hAnsi="宋体" w:eastAsia="宋体" w:cs="宋体"/>
                <w:b/>
                <w:szCs w:val="21"/>
              </w:rPr>
            </w:pPr>
            <w:r>
              <w:rPr>
                <w:rFonts w:hint="eastAsia" w:ascii="宋体" w:hAnsi="宋体" w:eastAsia="宋体"/>
                <w:b/>
                <w:szCs w:val="21"/>
              </w:rPr>
              <w:t>分值</w:t>
            </w:r>
            <w:bookmarkStart w:id="0" w:name="_GoBack"/>
            <w:bookmarkEnd w:id="0"/>
          </w:p>
        </w:tc>
        <w:tc>
          <w:tcPr>
            <w:tcW w:w="5948" w:type="dxa"/>
            <w:tcBorders>
              <w:top w:val="single" w:color="000000" w:sz="8" w:space="0"/>
              <w:left w:val="single" w:color="000000" w:sz="2" w:space="0"/>
              <w:bottom w:val="single" w:color="000000" w:sz="4" w:space="0"/>
              <w:right w:val="single" w:color="000000" w:sz="8" w:space="0"/>
            </w:tcBorders>
            <w:shd w:val="clear" w:color="auto" w:fill="FFFFFF"/>
            <w:vAlign w:val="center"/>
          </w:tcPr>
          <w:p>
            <w:pPr>
              <w:spacing w:before="100" w:after="100" w:line="0" w:lineRule="atLeast"/>
              <w:jc w:val="center"/>
              <w:rPr>
                <w:rFonts w:ascii="宋体" w:hAnsi="宋体" w:eastAsia="宋体" w:cs="宋体"/>
                <w:b/>
                <w:szCs w:val="21"/>
              </w:rPr>
            </w:pPr>
            <w:r>
              <w:rPr>
                <w:rFonts w:hint="eastAsia" w:ascii="宋体" w:hAnsi="宋体" w:eastAsia="宋体"/>
                <w:b/>
                <w:szCs w:val="21"/>
              </w:rPr>
              <w:t>评标标准</w:t>
            </w:r>
          </w:p>
        </w:tc>
      </w:tr>
      <w:tr>
        <w:tblPrEx>
          <w:tblCellMar>
            <w:top w:w="0" w:type="dxa"/>
            <w:left w:w="108" w:type="dxa"/>
            <w:bottom w:w="0" w:type="dxa"/>
            <w:right w:w="108" w:type="dxa"/>
          </w:tblCellMar>
        </w:tblPrEx>
        <w:trPr>
          <w:trHeight w:val="2254" w:hRule="atLeast"/>
        </w:trPr>
        <w:tc>
          <w:tcPr>
            <w:tcW w:w="1188" w:type="dxa"/>
            <w:tcBorders>
              <w:top w:val="single" w:color="000000" w:sz="8" w:space="0"/>
              <w:left w:val="single" w:color="000000" w:sz="8" w:space="0"/>
              <w:bottom w:val="single" w:color="000000" w:sz="4" w:space="0"/>
              <w:right w:val="single" w:color="000000" w:sz="8" w:space="0"/>
            </w:tcBorders>
            <w:shd w:val="clear" w:color="auto" w:fill="FFFFFF"/>
            <w:vAlign w:val="center"/>
          </w:tcPr>
          <w:p>
            <w:pPr>
              <w:spacing w:after="200" w:line="0" w:lineRule="atLeast"/>
              <w:rPr>
                <w:rFonts w:ascii="仿宋_GB2312" w:hAnsi="宋体" w:eastAsia="仿宋_GB2312"/>
                <w:szCs w:val="21"/>
              </w:rPr>
            </w:pPr>
            <w:r>
              <w:rPr>
                <w:rFonts w:hint="eastAsia" w:ascii="仿宋_GB2312" w:hAnsi="宋体" w:eastAsia="仿宋_GB2312"/>
                <w:szCs w:val="21"/>
              </w:rPr>
              <w:t>价格部分（10分）</w:t>
            </w:r>
          </w:p>
        </w:tc>
        <w:tc>
          <w:tcPr>
            <w:tcW w:w="2126" w:type="dxa"/>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cs="宋体"/>
                <w:kern w:val="0"/>
                <w:szCs w:val="21"/>
              </w:rPr>
            </w:pPr>
            <w:r>
              <w:rPr>
                <w:rFonts w:hint="eastAsia" w:ascii="仿宋_GB2312" w:hAnsi="宋体" w:eastAsia="仿宋_GB2312" w:cs="宋体"/>
                <w:kern w:val="0"/>
                <w:szCs w:val="21"/>
              </w:rPr>
              <w:t>遴选报价</w:t>
            </w:r>
          </w:p>
        </w:tc>
        <w:tc>
          <w:tcPr>
            <w:tcW w:w="831" w:type="dxa"/>
            <w:tcBorders>
              <w:top w:val="single" w:color="000000" w:sz="8"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10 </w:t>
            </w:r>
          </w:p>
        </w:tc>
        <w:tc>
          <w:tcPr>
            <w:tcW w:w="5948" w:type="dxa"/>
            <w:tcBorders>
              <w:top w:val="single" w:color="000000" w:sz="8"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综合评分法中的价格分统一采用低价优先法计算，即满足遴选文件要求且价格最低的评审价为评标基准价，其价格分为满分。其他供应商的价格分统一按照下列公式计算：价格分数=（基准价/遴选报价）×10。最低报价不作为成交保证。</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如评审专家组认为某供应商报价明显低于其他供应商报价时，会要求其在评审现场合理的时间内提供书面说明，必要时提交相关材料。如供应商不能在指定时间证明其报价合理性的，评审专家组有权将其作为无效遴选处理】</w:t>
            </w:r>
          </w:p>
        </w:tc>
      </w:tr>
      <w:tr>
        <w:tblPrEx>
          <w:tblCellMar>
            <w:top w:w="0" w:type="dxa"/>
            <w:left w:w="108" w:type="dxa"/>
            <w:bottom w:w="0" w:type="dxa"/>
            <w:right w:w="108" w:type="dxa"/>
          </w:tblCellMar>
        </w:tblPrEx>
        <w:tc>
          <w:tcPr>
            <w:tcW w:w="1188" w:type="dxa"/>
            <w:vMerge w:val="restart"/>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ascii="仿宋_GB2312" w:hAnsi="宋体" w:eastAsia="仿宋_GB2312" w:cs="宋体"/>
                <w:szCs w:val="21"/>
              </w:rPr>
            </w:pPr>
            <w:r>
              <w:rPr>
                <w:rFonts w:hint="eastAsia" w:ascii="仿宋_GB2312" w:hAnsi="宋体" w:eastAsia="仿宋_GB2312"/>
                <w:szCs w:val="21"/>
              </w:rPr>
              <w:t>商务部分（20分）</w:t>
            </w: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cs="宋体"/>
                <w:szCs w:val="21"/>
              </w:rPr>
            </w:pPr>
            <w:r>
              <w:rPr>
                <w:rFonts w:hint="eastAsia" w:ascii="仿宋_GB2312" w:hAnsi="宋体" w:eastAsia="仿宋_GB2312"/>
                <w:szCs w:val="21"/>
              </w:rPr>
              <w:t>企业认证</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（1）供应商取得ISO9001质量管理体系认证证书、ISO20000信息技术服务管理体系认证证书、ISO27001信息安全管理体系认证证书，且在有效期内的，每个</w:t>
            </w:r>
            <w:r>
              <w:rPr>
                <w:rFonts w:ascii="仿宋_GB2312" w:hAnsi="仿宋_GB2312" w:eastAsia="仿宋_GB2312" w:cs="仿宋_GB2312"/>
                <w:szCs w:val="21"/>
              </w:rPr>
              <w:t>1</w:t>
            </w:r>
            <w:r>
              <w:rPr>
                <w:rFonts w:hint="eastAsia" w:ascii="仿宋_GB2312" w:hAnsi="仿宋_GB2312" w:eastAsia="仿宋_GB2312" w:cs="仿宋_GB2312"/>
                <w:szCs w:val="21"/>
              </w:rPr>
              <w:t>分，本项合计最多得</w:t>
            </w:r>
            <w:r>
              <w:rPr>
                <w:rFonts w:ascii="仿宋_GB2312" w:hAnsi="仿宋_GB2312" w:eastAsia="仿宋_GB2312" w:cs="仿宋_GB2312"/>
                <w:szCs w:val="21"/>
              </w:rPr>
              <w:t>3</w:t>
            </w:r>
            <w:r>
              <w:rPr>
                <w:rFonts w:hint="eastAsia" w:ascii="仿宋_GB2312" w:hAnsi="仿宋_GB2312" w:eastAsia="仿宋_GB2312" w:cs="仿宋_GB2312"/>
                <w:szCs w:val="21"/>
              </w:rPr>
              <w:t>分；</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2</w:t>
            </w:r>
            <w:r>
              <w:rPr>
                <w:rFonts w:hint="eastAsia" w:ascii="仿宋_GB2312" w:hAnsi="仿宋_GB2312" w:eastAsia="仿宋_GB2312" w:cs="仿宋_GB2312"/>
                <w:szCs w:val="21"/>
              </w:rPr>
              <w:t>）供应商取得高新技术企业证书的得2分；</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供应商须提供认证证书复印件，不提供不得分（原件备查）。</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r>
              <w:rPr>
                <w:rFonts w:hint="eastAsia" w:ascii="仿宋_GB2312" w:hAnsi="宋体" w:eastAsia="仿宋_GB2312"/>
                <w:szCs w:val="21"/>
              </w:rPr>
              <w:t>企业业绩</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具备与北京市综合办公平台（京办）应用对接案例。</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每提供1项得2分，最高得10分，没有则不得分。</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（需提供应用接入京办相关证明资料并加盖供应商公章）</w:t>
            </w:r>
          </w:p>
        </w:tc>
      </w:tr>
      <w:tr>
        <w:tblPrEx>
          <w:tblCellMar>
            <w:top w:w="0" w:type="dxa"/>
            <w:left w:w="108" w:type="dxa"/>
            <w:bottom w:w="0" w:type="dxa"/>
            <w:right w:w="108" w:type="dxa"/>
          </w:tblCellMar>
        </w:tblPrEx>
        <w:trPr>
          <w:trHeight w:val="1322" w:hRule="atLeast"/>
        </w:trPr>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cs="宋体"/>
                <w:szCs w:val="21"/>
              </w:rPr>
            </w:pPr>
            <w:r>
              <w:rPr>
                <w:rFonts w:hint="eastAsia" w:ascii="仿宋_GB2312" w:hAnsi="宋体" w:eastAsia="仿宋_GB2312"/>
                <w:szCs w:val="21"/>
              </w:rPr>
              <w:t>团队实力</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before="100" w:after="100" w:line="0" w:lineRule="atLeast"/>
              <w:rPr>
                <w:rFonts w:ascii="仿宋_GB2312" w:hAnsi="仿宋_GB2312" w:eastAsia="仿宋_GB2312" w:cs="仿宋_GB2312"/>
                <w:szCs w:val="21"/>
              </w:rPr>
            </w:pPr>
            <w:r>
              <w:rPr>
                <w:rFonts w:hint="eastAsia" w:ascii="仿宋_GB2312" w:hAnsi="仿宋_GB2312" w:eastAsia="仿宋_GB2312" w:cs="仿宋_GB2312"/>
                <w:szCs w:val="21"/>
              </w:rPr>
              <w:t>项目组成员具有信息系统项目管理师、系统架构师证书、系统集成项目管理工程师证书、软件设计师证书、网络工程师证书，有1项得</w:t>
            </w:r>
            <w:r>
              <w:rPr>
                <w:rFonts w:ascii="仿宋_GB2312" w:hAnsi="仿宋_GB2312" w:eastAsia="仿宋_GB2312" w:cs="仿宋_GB2312"/>
                <w:szCs w:val="21"/>
              </w:rPr>
              <w:t>1</w:t>
            </w:r>
            <w:r>
              <w:rPr>
                <w:rFonts w:hint="eastAsia" w:ascii="仿宋_GB2312" w:hAnsi="仿宋_GB2312" w:eastAsia="仿宋_GB2312" w:cs="仿宋_GB2312"/>
                <w:szCs w:val="21"/>
              </w:rPr>
              <w:t>分，本项最多得</w:t>
            </w:r>
            <w:r>
              <w:rPr>
                <w:rFonts w:ascii="仿宋_GB2312" w:hAnsi="仿宋_GB2312" w:eastAsia="仿宋_GB2312" w:cs="仿宋_GB2312"/>
                <w:szCs w:val="21"/>
              </w:rPr>
              <w:t>5</w:t>
            </w:r>
            <w:r>
              <w:rPr>
                <w:rFonts w:hint="eastAsia" w:ascii="仿宋_GB2312" w:hAnsi="仿宋_GB2312" w:eastAsia="仿宋_GB2312" w:cs="仿宋_GB2312"/>
                <w:szCs w:val="21"/>
              </w:rPr>
              <w:t>分（一证多人算1证）</w:t>
            </w:r>
          </w:p>
          <w:p>
            <w:pPr>
              <w:spacing w:before="100" w:after="100" w:line="0" w:lineRule="atLeast"/>
              <w:rPr>
                <w:rFonts w:ascii="仿宋_GB2312" w:hAnsi="仿宋_GB2312" w:eastAsia="仿宋_GB2312" w:cs="仿宋_GB2312"/>
                <w:szCs w:val="21"/>
              </w:rPr>
            </w:pPr>
            <w:r>
              <w:rPr>
                <w:rFonts w:hint="eastAsia" w:ascii="仿宋_GB2312" w:hAnsi="仿宋_GB2312" w:eastAsia="仿宋_GB2312" w:cs="仿宋_GB2312"/>
                <w:szCs w:val="21"/>
              </w:rPr>
              <w:t>（需提供相关证书复印件，未提供不得分）</w:t>
            </w:r>
          </w:p>
        </w:tc>
      </w:tr>
      <w:tr>
        <w:tblPrEx>
          <w:tblCellMar>
            <w:top w:w="0" w:type="dxa"/>
            <w:left w:w="108" w:type="dxa"/>
            <w:bottom w:w="0" w:type="dxa"/>
            <w:right w:w="108" w:type="dxa"/>
          </w:tblCellMar>
        </w:tblPrEx>
        <w:tc>
          <w:tcPr>
            <w:tcW w:w="1188" w:type="dxa"/>
            <w:vMerge w:val="restart"/>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cs="宋体"/>
                <w:szCs w:val="21"/>
              </w:rPr>
            </w:pPr>
            <w:r>
              <w:rPr>
                <w:rFonts w:hint="eastAsia" w:ascii="仿宋_GB2312" w:hAnsi="宋体" w:eastAsia="仿宋_GB2312"/>
                <w:szCs w:val="21"/>
              </w:rPr>
              <w:t>技术部分（70分）</w:t>
            </w: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cs="宋体"/>
                <w:szCs w:val="21"/>
              </w:rPr>
            </w:pPr>
            <w:r>
              <w:rPr>
                <w:rFonts w:hint="eastAsia" w:ascii="仿宋_GB2312" w:hAnsi="宋体" w:eastAsia="仿宋_GB2312"/>
                <w:szCs w:val="21"/>
              </w:rPr>
              <w:t>需求分析</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ascii="仿宋_GB2312" w:hAnsi="仿宋_GB2312" w:eastAsia="仿宋_GB2312" w:cs="仿宋_GB2312"/>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供应商须针对本项目提供需求理解及分析。</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对项目建设背景及项目建设需求理解充分透彻，对需求分析准确全面，对项目认识深入，需求理解透彻，得1</w:t>
            </w:r>
            <w:r>
              <w:rPr>
                <w:rFonts w:ascii="仿宋_GB2312" w:hAnsi="仿宋_GB2312" w:eastAsia="仿宋_GB2312" w:cs="仿宋_GB2312"/>
                <w:szCs w:val="21"/>
              </w:rPr>
              <w:t>0</w:t>
            </w:r>
            <w:r>
              <w:rPr>
                <w:rFonts w:hint="eastAsia" w:ascii="仿宋_GB2312" w:hAnsi="仿宋_GB2312" w:eastAsia="仿宋_GB2312" w:cs="仿宋_GB2312"/>
                <w:szCs w:val="21"/>
              </w:rPr>
              <w:t>分，内容虽阐述但未贴合项目实际情况，需求理解分析一般，得5分；内容未进行阐述或需求理解分析较差得0分。</w:t>
            </w:r>
          </w:p>
        </w:tc>
      </w:tr>
      <w:tr>
        <w:tblPrEx>
          <w:tblCellMar>
            <w:top w:w="0" w:type="dxa"/>
            <w:left w:w="108" w:type="dxa"/>
            <w:bottom w:w="0" w:type="dxa"/>
            <w:right w:w="108" w:type="dxa"/>
          </w:tblCellMar>
        </w:tblPrEx>
        <w:trPr>
          <w:trHeight w:val="1195" w:hRule="atLeast"/>
        </w:trPr>
        <w:tc>
          <w:tcPr>
            <w:tcW w:w="1188" w:type="dxa"/>
            <w:vMerge w:val="continue"/>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p>
        </w:tc>
        <w:tc>
          <w:tcPr>
            <w:tcW w:w="2126" w:type="dxa"/>
            <w:vMerge w:val="restart"/>
            <w:tcBorders>
              <w:top w:val="single" w:color="000000" w:sz="4" w:space="0"/>
              <w:left w:val="nil"/>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r>
              <w:rPr>
                <w:rFonts w:hint="eastAsia" w:ascii="仿宋_GB2312" w:hAnsi="宋体" w:eastAsia="仿宋_GB2312"/>
                <w:szCs w:val="21"/>
              </w:rPr>
              <w:t>系统设计方案</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根据针对本项目提供的投诉线索处理系统方案进行评价。</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方案设计思路清晰、技术路线可行、逻辑架构严谨、功能架构完备的得</w:t>
            </w:r>
            <w:r>
              <w:rPr>
                <w:rFonts w:ascii="仿宋_GB2312" w:hAnsi="仿宋_GB2312" w:eastAsia="仿宋_GB2312" w:cs="仿宋_GB2312"/>
                <w:szCs w:val="21"/>
              </w:rPr>
              <w:t>10</w:t>
            </w:r>
            <w:r>
              <w:rPr>
                <w:rFonts w:hint="eastAsia" w:ascii="仿宋_GB2312" w:hAnsi="仿宋_GB2312" w:eastAsia="仿宋_GB2312" w:cs="仿宋_GB2312"/>
                <w:szCs w:val="21"/>
              </w:rPr>
              <w:t xml:space="preserve">分；方案设计思路较清晰、技术路线较可行、逻辑架构较严谨、功能架构较完备的得7分；方案有严重欠缺、针对性不强的得3分；无提供方案得0分。 </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p>
        </w:tc>
        <w:tc>
          <w:tcPr>
            <w:tcW w:w="2126" w:type="dxa"/>
            <w:vMerge w:val="continue"/>
            <w:tcBorders>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根据针对本项目提供的京办平台集成方案进行评价。</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方案设计思路清晰、技术路线可行、逻辑架构严谨、功能架构完备的得5分；方案设计思路较清晰、技术路线较可行、逻辑架构较严谨、功能架构较完备的得3分；方案有严重欠缺、针对性不强的得1分；无提供方案得0分。</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r>
              <w:rPr>
                <w:rFonts w:hint="eastAsia" w:ascii="仿宋_GB2312" w:hAnsi="宋体" w:eastAsia="仿宋_GB2312"/>
                <w:szCs w:val="21"/>
              </w:rPr>
              <w:t>页面设计</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根据本项目建设内容提供系统各功能模块界面设计效果图；</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提供</w:t>
            </w:r>
            <w:r>
              <w:rPr>
                <w:rFonts w:ascii="仿宋_GB2312" w:hAnsi="仿宋_GB2312" w:eastAsia="仿宋_GB2312" w:cs="仿宋_GB2312"/>
                <w:szCs w:val="21"/>
              </w:rPr>
              <w:t>15</w:t>
            </w:r>
            <w:r>
              <w:rPr>
                <w:rFonts w:hint="eastAsia" w:ascii="仿宋_GB2312" w:hAnsi="仿宋_GB2312" w:eastAsia="仿宋_GB2312" w:cs="仿宋_GB2312"/>
                <w:szCs w:val="21"/>
              </w:rPr>
              <w:t>个（含）以上与项目业务需求契合的一级页面设计图得</w:t>
            </w:r>
            <w:r>
              <w:rPr>
                <w:rFonts w:ascii="仿宋_GB2312" w:hAnsi="仿宋_GB2312" w:eastAsia="仿宋_GB2312" w:cs="仿宋_GB2312"/>
                <w:szCs w:val="21"/>
              </w:rPr>
              <w:t>5</w:t>
            </w:r>
            <w:r>
              <w:rPr>
                <w:rFonts w:hint="eastAsia" w:ascii="仿宋_GB2312" w:hAnsi="仿宋_GB2312" w:eastAsia="仿宋_GB2312" w:cs="仿宋_GB2312"/>
                <w:szCs w:val="21"/>
              </w:rPr>
              <w:t>分；提供8</w:t>
            </w:r>
            <w:r>
              <w:rPr>
                <w:rFonts w:ascii="仿宋_GB2312" w:hAnsi="仿宋_GB2312" w:eastAsia="仿宋_GB2312" w:cs="仿宋_GB2312"/>
                <w:szCs w:val="21"/>
              </w:rPr>
              <w:t>-15</w:t>
            </w:r>
            <w:r>
              <w:rPr>
                <w:rFonts w:hint="eastAsia" w:ascii="仿宋_GB2312" w:hAnsi="仿宋_GB2312" w:eastAsia="仿宋_GB2312" w:cs="仿宋_GB2312"/>
                <w:szCs w:val="21"/>
              </w:rPr>
              <w:t>个与项目业务需求契合的一级页面设计图得</w:t>
            </w:r>
            <w:r>
              <w:rPr>
                <w:rFonts w:ascii="仿宋_GB2312" w:hAnsi="仿宋_GB2312" w:eastAsia="仿宋_GB2312" w:cs="仿宋_GB2312"/>
                <w:szCs w:val="21"/>
              </w:rPr>
              <w:t>3</w:t>
            </w:r>
            <w:r>
              <w:rPr>
                <w:rFonts w:hint="eastAsia" w:ascii="仿宋_GB2312" w:hAnsi="仿宋_GB2312" w:eastAsia="仿宋_GB2312" w:cs="仿宋_GB2312"/>
                <w:szCs w:val="21"/>
              </w:rPr>
              <w:t>分；提供</w:t>
            </w:r>
            <w:r>
              <w:rPr>
                <w:rFonts w:ascii="仿宋_GB2312" w:hAnsi="仿宋_GB2312" w:eastAsia="仿宋_GB2312" w:cs="仿宋_GB2312"/>
                <w:szCs w:val="21"/>
              </w:rPr>
              <w:t>8</w:t>
            </w:r>
            <w:r>
              <w:rPr>
                <w:rFonts w:hint="eastAsia" w:ascii="仿宋_GB2312" w:hAnsi="仿宋_GB2312" w:eastAsia="仿宋_GB2312" w:cs="仿宋_GB2312"/>
                <w:szCs w:val="21"/>
              </w:rPr>
              <w:t>个及以下本项目业务需求契合的一级页面设计图得0分。</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r>
              <w:rPr>
                <w:rFonts w:hint="eastAsia" w:ascii="仿宋_GB2312" w:hAnsi="宋体" w:eastAsia="仿宋_GB2312"/>
                <w:szCs w:val="21"/>
              </w:rPr>
              <w:t>项目实施方案</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ascii="仿宋_GB2312" w:hAnsi="仿宋_GB2312" w:eastAsia="仿宋_GB2312" w:cs="仿宋_GB2312"/>
                <w:szCs w:val="21"/>
              </w:rPr>
              <w:t>15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根据针对本项目提供的项目实施方案进行评价；</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项目实施方案编制思路清晰、目标明确、条理严谨，实施方案对项目结果的最终实现具有良好的支撑性、衔接性内容进行了详细的论述且满足遴选需求，优秀的得15分、良好的得10分，内容虽阐述但未贴合项目实际情况或内容未包括具体实施细节及措施得5分，内容未进行阐述或不满足遴选需求得0分。</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szCs w:val="21"/>
              </w:rPr>
            </w:pPr>
            <w:r>
              <w:rPr>
                <w:rFonts w:hint="eastAsia" w:ascii="仿宋_GB2312" w:hAnsi="宋体" w:eastAsia="仿宋_GB2312"/>
                <w:szCs w:val="21"/>
              </w:rPr>
              <w:t>重点难点分析</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根据对本项目重点、难点、特点及相关措施分析进行评价；</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分析准确、全面，符合本项目实际情况，应对措施科学、可行、可操作性强，得</w:t>
            </w:r>
            <w:r>
              <w:rPr>
                <w:rFonts w:ascii="仿宋_GB2312" w:hAnsi="仿宋_GB2312" w:eastAsia="仿宋_GB2312" w:cs="仿宋_GB2312"/>
                <w:szCs w:val="21"/>
              </w:rPr>
              <w:t>10</w:t>
            </w:r>
            <w:r>
              <w:rPr>
                <w:rFonts w:hint="eastAsia" w:ascii="仿宋_GB2312" w:hAnsi="仿宋_GB2312" w:eastAsia="仿宋_GB2312" w:cs="仿宋_GB2312"/>
                <w:szCs w:val="21"/>
              </w:rPr>
              <w:t>分；分析较准确、较全面，应对措施较可行，得</w:t>
            </w:r>
            <w:r>
              <w:rPr>
                <w:rFonts w:ascii="仿宋_GB2312" w:hAnsi="仿宋_GB2312" w:eastAsia="仿宋_GB2312" w:cs="仿宋_GB2312"/>
                <w:szCs w:val="21"/>
              </w:rPr>
              <w:t>7</w:t>
            </w:r>
            <w:r>
              <w:rPr>
                <w:rFonts w:hint="eastAsia" w:ascii="仿宋_GB2312" w:hAnsi="仿宋_GB2312" w:eastAsia="仿宋_GB2312" w:cs="仿宋_GB2312"/>
                <w:szCs w:val="21"/>
              </w:rPr>
              <w:t>分；分析偏离项目实际情况，应对措施缺乏可行性，得</w:t>
            </w:r>
            <w:r>
              <w:rPr>
                <w:rFonts w:ascii="仿宋_GB2312" w:hAnsi="仿宋_GB2312" w:eastAsia="仿宋_GB2312" w:cs="仿宋_GB2312"/>
                <w:szCs w:val="21"/>
              </w:rPr>
              <w:t>3</w:t>
            </w:r>
            <w:r>
              <w:rPr>
                <w:rFonts w:hint="eastAsia" w:ascii="仿宋_GB2312" w:hAnsi="仿宋_GB2312" w:eastAsia="仿宋_GB2312" w:cs="仿宋_GB2312"/>
                <w:szCs w:val="21"/>
              </w:rPr>
              <w:t>分。无提供方案得0分。。</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cs="宋体"/>
                <w:szCs w:val="21"/>
              </w:rPr>
            </w:pPr>
            <w:r>
              <w:rPr>
                <w:rFonts w:hint="eastAsia" w:ascii="仿宋_GB2312" w:hAnsi="宋体" w:eastAsia="仿宋_GB2312"/>
                <w:szCs w:val="21"/>
              </w:rPr>
              <w:t>进度实施控制</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供应商需提供针对本项目的进度安排计划；</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内容进行了详细的论述且满足需求得</w:t>
            </w:r>
            <w:r>
              <w:rPr>
                <w:rFonts w:ascii="仿宋_GB2312" w:hAnsi="仿宋_GB2312" w:eastAsia="仿宋_GB2312" w:cs="仿宋_GB2312"/>
                <w:szCs w:val="21"/>
              </w:rPr>
              <w:t>5</w:t>
            </w:r>
            <w:r>
              <w:rPr>
                <w:rFonts w:hint="eastAsia" w:ascii="仿宋_GB2312" w:hAnsi="仿宋_GB2312" w:eastAsia="仿宋_GB2312" w:cs="仿宋_GB2312"/>
                <w:szCs w:val="21"/>
              </w:rPr>
              <w:t>分，内容虽阐述但未贴合项目实际情况或内容未包括具体实施细节及措施得</w:t>
            </w:r>
            <w:r>
              <w:rPr>
                <w:rFonts w:ascii="仿宋_GB2312" w:hAnsi="仿宋_GB2312" w:eastAsia="仿宋_GB2312" w:cs="仿宋_GB2312"/>
                <w:szCs w:val="21"/>
              </w:rPr>
              <w:t>3</w:t>
            </w:r>
            <w:r>
              <w:rPr>
                <w:rFonts w:hint="eastAsia" w:ascii="仿宋_GB2312" w:hAnsi="仿宋_GB2312" w:eastAsia="仿宋_GB2312" w:cs="仿宋_GB2312"/>
                <w:szCs w:val="21"/>
              </w:rPr>
              <w:t>分，内容未进行阐述或不满足遴选需求得0分</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line="0" w:lineRule="atLeast"/>
              <w:jc w:val="center"/>
              <w:rPr>
                <w:rFonts w:ascii="仿宋_GB2312" w:hAnsi="宋体" w:eastAsia="仿宋_GB2312"/>
                <w:szCs w:val="21"/>
              </w:rPr>
            </w:pPr>
            <w:r>
              <w:rPr>
                <w:rFonts w:hint="eastAsia" w:ascii="仿宋_GB2312" w:hAnsi="宋体" w:eastAsia="仿宋_GB2312"/>
                <w:szCs w:val="21"/>
              </w:rPr>
              <w:t>培训方案</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根据提供的培训方案进行评价；</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培训方案可行、具有针对性的得</w:t>
            </w:r>
            <w:r>
              <w:rPr>
                <w:rFonts w:ascii="仿宋_GB2312" w:hAnsi="仿宋_GB2312" w:eastAsia="仿宋_GB2312" w:cs="仿宋_GB2312"/>
                <w:szCs w:val="21"/>
              </w:rPr>
              <w:t>5</w:t>
            </w:r>
            <w:r>
              <w:rPr>
                <w:rFonts w:hint="eastAsia" w:ascii="仿宋_GB2312" w:hAnsi="仿宋_GB2312" w:eastAsia="仿宋_GB2312" w:cs="仿宋_GB2312"/>
                <w:szCs w:val="21"/>
              </w:rPr>
              <w:t>分；培训方案较可行、针对性一般的得</w:t>
            </w:r>
            <w:r>
              <w:rPr>
                <w:rFonts w:ascii="仿宋_GB2312" w:hAnsi="仿宋_GB2312" w:eastAsia="仿宋_GB2312" w:cs="仿宋_GB2312"/>
                <w:szCs w:val="21"/>
              </w:rPr>
              <w:t>3</w:t>
            </w:r>
            <w:r>
              <w:rPr>
                <w:rFonts w:hint="eastAsia" w:ascii="仿宋_GB2312" w:hAnsi="仿宋_GB2312" w:eastAsia="仿宋_GB2312" w:cs="仿宋_GB2312"/>
                <w:szCs w:val="21"/>
              </w:rPr>
              <w:t>分；培训方案可行性较差的得1分。培训方案不可行或未提供的得0分。</w:t>
            </w:r>
          </w:p>
        </w:tc>
      </w:tr>
      <w:tr>
        <w:tblPrEx>
          <w:tblCellMar>
            <w:top w:w="0" w:type="dxa"/>
            <w:left w:w="108" w:type="dxa"/>
            <w:bottom w:w="0" w:type="dxa"/>
            <w:right w:w="108" w:type="dxa"/>
          </w:tblCellMar>
        </w:tblPrEx>
        <w:tc>
          <w:tcPr>
            <w:tcW w:w="1188" w:type="dxa"/>
            <w:vMerge w:val="continue"/>
            <w:tcBorders>
              <w:top w:val="nil"/>
              <w:left w:val="single" w:color="000000" w:sz="8" w:space="0"/>
              <w:bottom w:val="single" w:color="000000" w:sz="4" w:space="0"/>
              <w:right w:val="single" w:color="000000" w:sz="8" w:space="0"/>
            </w:tcBorders>
            <w:shd w:val="clear" w:color="auto" w:fill="auto"/>
            <w:vAlign w:val="center"/>
          </w:tcPr>
          <w:p>
            <w:pPr>
              <w:spacing w:line="0" w:lineRule="atLeast"/>
              <w:rPr>
                <w:rFonts w:ascii="仿宋_GB2312" w:hAnsi="宋体" w:eastAsia="仿宋_GB2312" w:cs="宋体"/>
                <w:szCs w:val="21"/>
              </w:rPr>
            </w:pPr>
          </w:p>
        </w:tc>
        <w:tc>
          <w:tcPr>
            <w:tcW w:w="2126"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宋体" w:eastAsia="仿宋_GB2312" w:cs="宋体"/>
                <w:szCs w:val="21"/>
              </w:rPr>
            </w:pPr>
            <w:r>
              <w:rPr>
                <w:rFonts w:hint="eastAsia" w:ascii="仿宋_GB2312" w:hAnsi="宋体" w:eastAsia="仿宋_GB2312"/>
                <w:szCs w:val="21"/>
              </w:rPr>
              <w:t>项目建议</w:t>
            </w:r>
          </w:p>
        </w:tc>
        <w:tc>
          <w:tcPr>
            <w:tcW w:w="831" w:type="dxa"/>
            <w:tcBorders>
              <w:top w:val="single" w:color="000000" w:sz="4" w:space="0"/>
              <w:left w:val="nil"/>
              <w:bottom w:val="single" w:color="000000" w:sz="4" w:space="0"/>
              <w:right w:val="single" w:color="000000" w:sz="8" w:space="0"/>
            </w:tcBorders>
            <w:shd w:val="clear" w:color="auto" w:fill="FFFFFF"/>
            <w:vAlign w:val="center"/>
          </w:tcPr>
          <w:p>
            <w:pPr>
              <w:spacing w:before="100" w:after="100" w:line="0" w:lineRule="atLeast"/>
              <w:jc w:val="center"/>
              <w:rPr>
                <w:rFonts w:ascii="仿宋_GB2312" w:hAnsi="仿宋_GB2312" w:eastAsia="仿宋_GB2312" w:cs="仿宋_GB2312"/>
                <w:szCs w:val="21"/>
              </w:rPr>
            </w:pPr>
            <w:r>
              <w:rPr>
                <w:rFonts w:ascii="仿宋_GB2312" w:hAnsi="仿宋_GB2312" w:eastAsia="仿宋_GB2312" w:cs="仿宋_GB2312"/>
                <w:szCs w:val="21"/>
              </w:rPr>
              <w:t>5</w:t>
            </w:r>
          </w:p>
        </w:tc>
        <w:tc>
          <w:tcPr>
            <w:tcW w:w="5948" w:type="dxa"/>
            <w:tcBorders>
              <w:top w:val="single" w:color="000000" w:sz="4" w:space="0"/>
              <w:left w:val="single" w:color="000000" w:sz="2" w:space="0"/>
              <w:bottom w:val="single" w:color="000000" w:sz="4" w:space="0"/>
              <w:right w:val="single" w:color="000000" w:sz="8" w:space="0"/>
            </w:tcBorders>
            <w:shd w:val="clear" w:color="auto" w:fill="FFFFFF"/>
            <w:vAlign w:val="center"/>
          </w:tcPr>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供应商须针对本项目提供合理化建议；</w:t>
            </w:r>
          </w:p>
          <w:p>
            <w:pPr>
              <w:spacing w:line="0" w:lineRule="atLeast"/>
              <w:rPr>
                <w:rFonts w:ascii="仿宋_GB2312" w:hAnsi="仿宋_GB2312" w:eastAsia="仿宋_GB2312" w:cs="仿宋_GB2312"/>
                <w:szCs w:val="21"/>
              </w:rPr>
            </w:pPr>
            <w:r>
              <w:rPr>
                <w:rFonts w:hint="eastAsia" w:ascii="仿宋_GB2312" w:hAnsi="仿宋_GB2312" w:eastAsia="仿宋_GB2312" w:cs="仿宋_GB2312"/>
                <w:szCs w:val="21"/>
              </w:rPr>
              <w:t>提供的建议可行、实用得</w:t>
            </w:r>
            <w:r>
              <w:rPr>
                <w:rFonts w:ascii="仿宋_GB2312" w:hAnsi="仿宋_GB2312" w:eastAsia="仿宋_GB2312" w:cs="仿宋_GB2312"/>
                <w:szCs w:val="21"/>
              </w:rPr>
              <w:t>5</w:t>
            </w:r>
            <w:r>
              <w:rPr>
                <w:rFonts w:hint="eastAsia" w:ascii="仿宋_GB2312" w:hAnsi="仿宋_GB2312" w:eastAsia="仿宋_GB2312" w:cs="仿宋_GB2312"/>
                <w:szCs w:val="21"/>
              </w:rPr>
              <w:t>分；提供的建议较可行、较实用得</w:t>
            </w:r>
            <w:r>
              <w:rPr>
                <w:rFonts w:ascii="仿宋_GB2312" w:hAnsi="仿宋_GB2312" w:eastAsia="仿宋_GB2312" w:cs="仿宋_GB2312"/>
                <w:szCs w:val="21"/>
              </w:rPr>
              <w:t>3</w:t>
            </w:r>
            <w:r>
              <w:rPr>
                <w:rFonts w:hint="eastAsia" w:ascii="仿宋_GB2312" w:hAnsi="仿宋_GB2312" w:eastAsia="仿宋_GB2312" w:cs="仿宋_GB2312"/>
                <w:szCs w:val="21"/>
              </w:rPr>
              <w:t>分；提供的建议缺乏可行性得1分；未提供项目建议得0分。</w:t>
            </w:r>
          </w:p>
        </w:tc>
      </w:tr>
    </w:tbl>
    <w:p>
      <w:pPr>
        <w:pStyle w:val="10"/>
      </w:pPr>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Pr>
        <w:rStyle w:val="16"/>
        <w:rFonts w:ascii="宋体" w:hAnsi="宋体"/>
        <w:sz w:val="28"/>
        <w:szCs w:val="28"/>
      </w:rPr>
    </w:pP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4</w:t>
    </w:r>
    <w:r>
      <w:rPr>
        <w:rStyle w:val="16"/>
        <w:rFonts w:ascii="宋体" w:hAnsi="宋体"/>
        <w:sz w:val="28"/>
        <w:szCs w:val="28"/>
      </w:rPr>
      <w:fldChar w:fldCharType="end"/>
    </w:r>
    <w:r>
      <w:rPr>
        <w:rStyle w:val="16"/>
        <w:rFonts w:hint="eastAsia" w:ascii="宋体" w:hAnsi="宋体"/>
        <w:sz w:val="28"/>
        <w:szCs w:val="28"/>
      </w:rPr>
      <w:t xml:space="preserve"> －</w:t>
    </w:r>
  </w:p>
  <w:p>
    <w:pPr>
      <w:pStyle w:val="7"/>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ZjQ2Y2MxMDMyZDZkZDI3YTUxOWUzMDk2NjJjMzUifQ=="/>
  </w:docVars>
  <w:rsids>
    <w:rsidRoot w:val="00BF6931"/>
    <w:rsid w:val="0004036B"/>
    <w:rsid w:val="00064E1A"/>
    <w:rsid w:val="000B0EE9"/>
    <w:rsid w:val="001056EA"/>
    <w:rsid w:val="001229E1"/>
    <w:rsid w:val="001374FC"/>
    <w:rsid w:val="001C4C27"/>
    <w:rsid w:val="001C6E5F"/>
    <w:rsid w:val="0020641B"/>
    <w:rsid w:val="00237771"/>
    <w:rsid w:val="00266142"/>
    <w:rsid w:val="002B55A3"/>
    <w:rsid w:val="002F6DFC"/>
    <w:rsid w:val="00413230"/>
    <w:rsid w:val="0048430D"/>
    <w:rsid w:val="004D378E"/>
    <w:rsid w:val="004E111A"/>
    <w:rsid w:val="005150F7"/>
    <w:rsid w:val="00582A34"/>
    <w:rsid w:val="005E40FB"/>
    <w:rsid w:val="00664103"/>
    <w:rsid w:val="006D66F6"/>
    <w:rsid w:val="006E1AF3"/>
    <w:rsid w:val="006E76E9"/>
    <w:rsid w:val="0072027B"/>
    <w:rsid w:val="00730D0A"/>
    <w:rsid w:val="00740DC7"/>
    <w:rsid w:val="00784DDD"/>
    <w:rsid w:val="007C2754"/>
    <w:rsid w:val="00846692"/>
    <w:rsid w:val="008968E9"/>
    <w:rsid w:val="00897176"/>
    <w:rsid w:val="008A56A8"/>
    <w:rsid w:val="008F4FE8"/>
    <w:rsid w:val="00923308"/>
    <w:rsid w:val="00926AB9"/>
    <w:rsid w:val="0093258E"/>
    <w:rsid w:val="00A16D49"/>
    <w:rsid w:val="00A54CE7"/>
    <w:rsid w:val="00AF58C9"/>
    <w:rsid w:val="00B61A27"/>
    <w:rsid w:val="00B667EF"/>
    <w:rsid w:val="00BE39DE"/>
    <w:rsid w:val="00BF6931"/>
    <w:rsid w:val="00C31094"/>
    <w:rsid w:val="00C376DE"/>
    <w:rsid w:val="00C44821"/>
    <w:rsid w:val="00C955EB"/>
    <w:rsid w:val="00CC17B1"/>
    <w:rsid w:val="00CE2ADA"/>
    <w:rsid w:val="00CE6789"/>
    <w:rsid w:val="00D6148E"/>
    <w:rsid w:val="00DA54E1"/>
    <w:rsid w:val="00E46624"/>
    <w:rsid w:val="00E5134D"/>
    <w:rsid w:val="00E539F3"/>
    <w:rsid w:val="00E93FE1"/>
    <w:rsid w:val="00EB6D45"/>
    <w:rsid w:val="00EC59D4"/>
    <w:rsid w:val="00EF424E"/>
    <w:rsid w:val="00F36EB0"/>
    <w:rsid w:val="00FA3E69"/>
    <w:rsid w:val="00FA5186"/>
    <w:rsid w:val="00FD3B67"/>
    <w:rsid w:val="01FF51E1"/>
    <w:rsid w:val="027C16B8"/>
    <w:rsid w:val="02D72661"/>
    <w:rsid w:val="03231B33"/>
    <w:rsid w:val="059E2D61"/>
    <w:rsid w:val="0702412D"/>
    <w:rsid w:val="070E5B8E"/>
    <w:rsid w:val="07465F1D"/>
    <w:rsid w:val="07A13A99"/>
    <w:rsid w:val="098D7D07"/>
    <w:rsid w:val="09914CCC"/>
    <w:rsid w:val="09D37D46"/>
    <w:rsid w:val="0A416590"/>
    <w:rsid w:val="0AE43B71"/>
    <w:rsid w:val="0C191D25"/>
    <w:rsid w:val="0CA51BF8"/>
    <w:rsid w:val="0D0F6543"/>
    <w:rsid w:val="0E0119CA"/>
    <w:rsid w:val="0E3B799D"/>
    <w:rsid w:val="0E8D58EF"/>
    <w:rsid w:val="0F1A64E0"/>
    <w:rsid w:val="10BD324F"/>
    <w:rsid w:val="10DC4F92"/>
    <w:rsid w:val="120A6163"/>
    <w:rsid w:val="126679E3"/>
    <w:rsid w:val="12C17203"/>
    <w:rsid w:val="139D30C7"/>
    <w:rsid w:val="142E7791"/>
    <w:rsid w:val="1430235A"/>
    <w:rsid w:val="143C4EDC"/>
    <w:rsid w:val="149C7B8C"/>
    <w:rsid w:val="14ED0209"/>
    <w:rsid w:val="1538070B"/>
    <w:rsid w:val="15AD71D1"/>
    <w:rsid w:val="16337DFA"/>
    <w:rsid w:val="19362169"/>
    <w:rsid w:val="1A741C95"/>
    <w:rsid w:val="1BF974E3"/>
    <w:rsid w:val="1C2D4C7B"/>
    <w:rsid w:val="1C3425A1"/>
    <w:rsid w:val="1DFE71E1"/>
    <w:rsid w:val="1E8D16A5"/>
    <w:rsid w:val="1F223576"/>
    <w:rsid w:val="20555F76"/>
    <w:rsid w:val="22A61CC2"/>
    <w:rsid w:val="23825FAA"/>
    <w:rsid w:val="23B24AE2"/>
    <w:rsid w:val="23F31321"/>
    <w:rsid w:val="251406E0"/>
    <w:rsid w:val="251E499C"/>
    <w:rsid w:val="26D23C06"/>
    <w:rsid w:val="275A34C6"/>
    <w:rsid w:val="27FF7BCA"/>
    <w:rsid w:val="28CE464D"/>
    <w:rsid w:val="2A3B1D0C"/>
    <w:rsid w:val="2A500721"/>
    <w:rsid w:val="2A5F42E4"/>
    <w:rsid w:val="2A9E642D"/>
    <w:rsid w:val="2AAE7B1B"/>
    <w:rsid w:val="2AC64341"/>
    <w:rsid w:val="2AF74AFA"/>
    <w:rsid w:val="2C490FEF"/>
    <w:rsid w:val="2C77727F"/>
    <w:rsid w:val="2DF316F7"/>
    <w:rsid w:val="2E9A328C"/>
    <w:rsid w:val="304557D8"/>
    <w:rsid w:val="30640A4A"/>
    <w:rsid w:val="310B6782"/>
    <w:rsid w:val="3111559E"/>
    <w:rsid w:val="31FB296F"/>
    <w:rsid w:val="33EE3601"/>
    <w:rsid w:val="372847D4"/>
    <w:rsid w:val="385A2AE8"/>
    <w:rsid w:val="39C809FB"/>
    <w:rsid w:val="3ABE0FD9"/>
    <w:rsid w:val="3B7D63DA"/>
    <w:rsid w:val="3B944BC0"/>
    <w:rsid w:val="3EF1169A"/>
    <w:rsid w:val="414C39F0"/>
    <w:rsid w:val="439A472A"/>
    <w:rsid w:val="43A571CF"/>
    <w:rsid w:val="441C7FD3"/>
    <w:rsid w:val="45C565EC"/>
    <w:rsid w:val="47C67CFB"/>
    <w:rsid w:val="47E62066"/>
    <w:rsid w:val="4A192850"/>
    <w:rsid w:val="4A632DA1"/>
    <w:rsid w:val="4AEA342D"/>
    <w:rsid w:val="4B645C7A"/>
    <w:rsid w:val="4CBE712F"/>
    <w:rsid w:val="4CF82CB6"/>
    <w:rsid w:val="4D2C4661"/>
    <w:rsid w:val="4DE81745"/>
    <w:rsid w:val="4EC40AAC"/>
    <w:rsid w:val="4F353A65"/>
    <w:rsid w:val="50161CC6"/>
    <w:rsid w:val="503F55AC"/>
    <w:rsid w:val="50B2385B"/>
    <w:rsid w:val="513044BE"/>
    <w:rsid w:val="518C1080"/>
    <w:rsid w:val="524730B2"/>
    <w:rsid w:val="52FB4B21"/>
    <w:rsid w:val="53E14715"/>
    <w:rsid w:val="546365A3"/>
    <w:rsid w:val="55766852"/>
    <w:rsid w:val="559F50D6"/>
    <w:rsid w:val="58CE6FC1"/>
    <w:rsid w:val="59B60656"/>
    <w:rsid w:val="5A91404C"/>
    <w:rsid w:val="5C501E2D"/>
    <w:rsid w:val="5D432800"/>
    <w:rsid w:val="5D4D621E"/>
    <w:rsid w:val="5E2D5235"/>
    <w:rsid w:val="5E8B68CF"/>
    <w:rsid w:val="61AD053C"/>
    <w:rsid w:val="63543822"/>
    <w:rsid w:val="637D4B55"/>
    <w:rsid w:val="63E643B8"/>
    <w:rsid w:val="640E4E7E"/>
    <w:rsid w:val="65586CD4"/>
    <w:rsid w:val="65FD37CF"/>
    <w:rsid w:val="66723E06"/>
    <w:rsid w:val="66B17ADD"/>
    <w:rsid w:val="672F227A"/>
    <w:rsid w:val="678720E2"/>
    <w:rsid w:val="680F6BB7"/>
    <w:rsid w:val="68703912"/>
    <w:rsid w:val="6919500A"/>
    <w:rsid w:val="6A0532A1"/>
    <w:rsid w:val="6B33079D"/>
    <w:rsid w:val="6C6966AA"/>
    <w:rsid w:val="6C992961"/>
    <w:rsid w:val="6D084F7C"/>
    <w:rsid w:val="6D441C7B"/>
    <w:rsid w:val="6D8D693E"/>
    <w:rsid w:val="6F92331A"/>
    <w:rsid w:val="70A37393"/>
    <w:rsid w:val="711E7A05"/>
    <w:rsid w:val="72372D87"/>
    <w:rsid w:val="72435532"/>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A9B392D"/>
    <w:rsid w:val="7C3866D8"/>
    <w:rsid w:val="7C724BD9"/>
    <w:rsid w:val="7D7C4771"/>
    <w:rsid w:val="7E0F492A"/>
    <w:rsid w:val="7E18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2">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80" w:firstLineChars="200"/>
    </w:pPr>
    <w:rPr>
      <w:sz w:val="24"/>
    </w:rPr>
  </w:style>
  <w:style w:type="paragraph" w:styleId="4">
    <w:name w:val="Plain Text"/>
    <w:basedOn w:val="1"/>
    <w:next w:val="1"/>
    <w:qFormat/>
    <w:uiPriority w:val="99"/>
    <w:rPr>
      <w:rFonts w:ascii="宋体" w:hAnsi="Courier New" w:cs="Courier New"/>
      <w:szCs w:val="21"/>
    </w:rPr>
  </w:style>
  <w:style w:type="paragraph" w:styleId="5">
    <w:name w:val="Body Text Indent 2"/>
    <w:basedOn w:val="1"/>
    <w:qFormat/>
    <w:uiPriority w:val="0"/>
    <w:pPr>
      <w:tabs>
        <w:tab w:val="left" w:pos="2250"/>
      </w:tabs>
      <w:spacing w:before="100" w:beforeAutospacing="1" w:line="400" w:lineRule="exact"/>
      <w:ind w:firstLine="629"/>
    </w:pPr>
    <w:rPr>
      <w:sz w:val="32"/>
    </w:rPr>
  </w:style>
  <w:style w:type="paragraph" w:styleId="6">
    <w:name w:val="Balloon Text"/>
    <w:basedOn w:val="1"/>
    <w:link w:val="28"/>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Normal (Web)"/>
    <w:basedOn w:val="1"/>
    <w:unhideWhenUsed/>
    <w:qFormat/>
    <w:uiPriority w:val="99"/>
    <w:pPr>
      <w:spacing w:before="100" w:beforeAutospacing="1" w:after="100" w:afterAutospacing="1"/>
    </w:pPr>
    <w:rPr>
      <w:kern w:val="0"/>
      <w:sz w:val="24"/>
    </w:rPr>
  </w:style>
  <w:style w:type="paragraph" w:styleId="10">
    <w:name w:val="index 1"/>
    <w:basedOn w:val="1"/>
    <w:next w:val="1"/>
    <w:qFormat/>
    <w:uiPriority w:val="99"/>
  </w:style>
  <w:style w:type="paragraph" w:styleId="11">
    <w:name w:val="Body Text First Indent 2"/>
    <w:basedOn w:val="3"/>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unhideWhenUsed/>
    <w:qFormat/>
    <w:uiPriority w:val="99"/>
    <w:rPr>
      <w:color w:val="0563C1"/>
      <w:u w:val="single"/>
    </w:rPr>
  </w:style>
  <w:style w:type="paragraph" w:customStyle="1" w:styleId="18">
    <w:name w:val="UserStyle_1"/>
    <w:basedOn w:val="1"/>
    <w:link w:val="21"/>
    <w:qFormat/>
    <w:uiPriority w:val="0"/>
    <w:rPr>
      <w:rFonts w:ascii="Times New Roman" w:hAnsi="Times New Roman" w:eastAsia="宋体"/>
      <w:kern w:val="0"/>
      <w:sz w:val="20"/>
      <w:szCs w:val="20"/>
    </w:rPr>
  </w:style>
  <w:style w:type="paragraph" w:customStyle="1" w:styleId="19">
    <w:name w:val="UserStyle_3"/>
    <w:basedOn w:val="1"/>
    <w:link w:val="22"/>
    <w:qFormat/>
    <w:uiPriority w:val="0"/>
    <w:rPr>
      <w:rFonts w:ascii="Times New Roman" w:hAnsi="Times New Roman" w:eastAsia="宋体"/>
      <w:kern w:val="0"/>
      <w:sz w:val="20"/>
      <w:szCs w:val="20"/>
    </w:rPr>
  </w:style>
  <w:style w:type="paragraph" w:customStyle="1" w:styleId="20">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21">
    <w:name w:val="UserStyle_0"/>
    <w:link w:val="18"/>
    <w:qFormat/>
    <w:uiPriority w:val="0"/>
    <w:rPr>
      <w:rFonts w:ascii="Times New Roman" w:hAnsi="Times New Roman" w:eastAsia="宋体"/>
      <w:kern w:val="0"/>
      <w:sz w:val="20"/>
      <w:szCs w:val="20"/>
    </w:rPr>
  </w:style>
  <w:style w:type="character" w:customStyle="1" w:styleId="22">
    <w:name w:val="UserStyle_2"/>
    <w:link w:val="19"/>
    <w:qFormat/>
    <w:uiPriority w:val="0"/>
    <w:rPr>
      <w:rFonts w:ascii="Times New Roman" w:hAnsi="Times New Roman" w:eastAsia="宋体"/>
      <w:kern w:val="0"/>
      <w:sz w:val="20"/>
      <w:szCs w:val="20"/>
    </w:rPr>
  </w:style>
  <w:style w:type="character" w:customStyle="1" w:styleId="23">
    <w:name w:val="UserStyle_4"/>
    <w:qFormat/>
    <w:uiPriority w:val="0"/>
    <w:rPr>
      <w:rFonts w:ascii="Calibri" w:hAnsi="Calibri" w:eastAsia="宋体"/>
    </w:rPr>
  </w:style>
  <w:style w:type="character" w:customStyle="1" w:styleId="24">
    <w:name w:val="NormalCharacter"/>
    <w:qFormat/>
    <w:uiPriority w:val="0"/>
  </w:style>
  <w:style w:type="character" w:customStyle="1" w:styleId="25">
    <w:name w:val="font41"/>
    <w:basedOn w:val="14"/>
    <w:qFormat/>
    <w:uiPriority w:val="0"/>
    <w:rPr>
      <w:rFonts w:hint="eastAsia" w:ascii="仿宋" w:hAnsi="仿宋" w:eastAsia="仿宋" w:cs="仿宋"/>
      <w:color w:val="000000"/>
      <w:sz w:val="24"/>
      <w:szCs w:val="24"/>
      <w:u w:val="none"/>
    </w:rPr>
  </w:style>
  <w:style w:type="character" w:customStyle="1" w:styleId="26">
    <w:name w:val="font31"/>
    <w:basedOn w:val="14"/>
    <w:qFormat/>
    <w:uiPriority w:val="0"/>
    <w:rPr>
      <w:rFonts w:hint="eastAsia" w:ascii="仿宋" w:hAnsi="仿宋" w:eastAsia="仿宋" w:cs="仿宋"/>
      <w:color w:val="000000"/>
      <w:sz w:val="24"/>
      <w:szCs w:val="24"/>
      <w:u w:val="none"/>
    </w:rPr>
  </w:style>
  <w:style w:type="character" w:customStyle="1" w:styleId="27">
    <w:name w:val="font21"/>
    <w:basedOn w:val="14"/>
    <w:qFormat/>
    <w:uiPriority w:val="0"/>
    <w:rPr>
      <w:rFonts w:hint="eastAsia" w:ascii="仿宋" w:hAnsi="仿宋" w:eastAsia="仿宋" w:cs="仿宋"/>
      <w:color w:val="000000"/>
      <w:sz w:val="24"/>
      <w:szCs w:val="24"/>
      <w:u w:val="none"/>
    </w:rPr>
  </w:style>
  <w:style w:type="character" w:customStyle="1" w:styleId="28">
    <w:name w:val="批注框文本 字符"/>
    <w:basedOn w:val="14"/>
    <w:link w:val="6"/>
    <w:qFormat/>
    <w:uiPriority w:val="0"/>
    <w:rPr>
      <w:rFonts w:ascii="Calibri" w:hAnsi="Calibri" w:eastAsia="等线"/>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261</Words>
  <Characters>1490</Characters>
  <Lines>12</Lines>
  <Paragraphs>3</Paragraphs>
  <TotalTime>275</TotalTime>
  <ScaleCrop>false</ScaleCrop>
  <LinksUpToDate>false</LinksUpToDate>
  <CharactersWithSpaces>1748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2023-09-22T16:45:00Z</dcterms:created>
  <dc:creator>hp</dc:creator>
  <cp:lastModifiedBy>admin</cp:lastModifiedBy>
  <dcterms:modified xsi:type="dcterms:W3CDTF">2023-09-28T08:30:28Z</dcterms:modified>
  <dc:title>附件2        2022年国际护士节宣传项目评分标准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ies>
</file>