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p>
    <w:p>
      <w:pPr>
        <w:spacing w:line="360" w:lineRule="auto"/>
        <w:jc w:val="center"/>
        <w:rPr>
          <w:rFonts w:hint="eastAsia" w:ascii="方正黑体_GBK" w:hAnsi="方正黑体_GBK" w:eastAsia="方正黑体_GBK" w:cs="方正黑体_GBK"/>
          <w:b/>
          <w:bCs/>
          <w:sz w:val="36"/>
          <w:szCs w:val="32"/>
        </w:rPr>
      </w:pPr>
      <w:r>
        <w:rPr>
          <w:rFonts w:hint="eastAsia" w:ascii="方正黑体_GBK" w:hAnsi="方正黑体_GBK" w:eastAsia="方正黑体_GBK" w:cs="方正黑体_GBK"/>
          <w:b/>
          <w:bCs/>
          <w:sz w:val="36"/>
          <w:szCs w:val="32"/>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w:t>
      </w:r>
      <w:r>
        <w:rPr>
          <w:rFonts w:hint="eastAsia" w:ascii="仿宋" w:hAnsi="仿宋" w:eastAsia="仿宋" w:cs="宋体"/>
          <w:bCs/>
          <w:sz w:val="28"/>
          <w:szCs w:val="28"/>
          <w:lang w:eastAsia="zh-CN"/>
        </w:rPr>
        <w:t>褪</w:t>
      </w:r>
      <w:r>
        <w:rPr>
          <w:rFonts w:hint="eastAsia" w:ascii="仿宋" w:hAnsi="仿宋" w:eastAsia="仿宋" w:cs="宋体"/>
          <w:bCs/>
          <w:sz w:val="28"/>
          <w:szCs w:val="28"/>
        </w:rPr>
        <w:t>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7"/>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宋体"/>
                <w:kern w:val="0"/>
                <w:sz w:val="28"/>
                <w:szCs w:val="28"/>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hint="eastAsia"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w:t>
      </w:r>
      <w:r>
        <w:rPr>
          <w:rFonts w:hint="eastAsia" w:ascii="仿宋" w:hAnsi="仿宋" w:eastAsia="仿宋" w:cs="宋体"/>
          <w:bCs/>
          <w:color w:val="000000" w:themeColor="text1"/>
          <w:sz w:val="28"/>
          <w:szCs w:val="28"/>
          <w14:textFill>
            <w14:solidFill>
              <w14:schemeClr w14:val="tx1"/>
            </w14:solidFill>
          </w14:textFill>
        </w:rPr>
        <w:t>排名第一的成交候选人。</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rPr>
          <w:rFonts w:hint="eastAsia" w:ascii="仿宋" w:hAnsi="仿宋" w:eastAsia="仿宋" w:cs="宋体"/>
          <w:bCs/>
          <w:sz w:val="28"/>
          <w:szCs w:val="28"/>
        </w:rPr>
      </w:pPr>
      <w:r>
        <w:rPr>
          <w:rFonts w:hint="eastAsia" w:ascii="仿宋" w:hAnsi="仿宋" w:eastAsia="仿宋" w:cs="宋体"/>
          <w:b/>
          <w:bCs/>
          <w:color w:val="FF0000"/>
          <w:sz w:val="28"/>
          <w:szCs w:val="28"/>
        </w:rPr>
        <w:t>5、本项目如仅有1家供应商进入到综合打分，则该供应商的总分应不低于60分，否则按废标处理。</w:t>
      </w:r>
    </w:p>
    <w:p>
      <w:pPr>
        <w:spacing w:line="360" w:lineRule="auto"/>
        <w:rPr>
          <w:rFonts w:ascii="仿宋" w:hAnsi="仿宋" w:eastAsia="仿宋" w:cs="宋体"/>
          <w:bCs/>
          <w:sz w:val="28"/>
          <w:szCs w:val="28"/>
        </w:rPr>
      </w:pPr>
      <w:r>
        <w:rPr>
          <w:rFonts w:hint="eastAsia" w:ascii="仿宋" w:hAnsi="仿宋" w:eastAsia="仿宋" w:cs="宋体"/>
          <w:bCs/>
          <w:sz w:val="28"/>
          <w:szCs w:val="28"/>
          <w:lang w:val="en-US" w:eastAsia="zh-CN"/>
        </w:rPr>
        <w:t>6</w:t>
      </w:r>
      <w:r>
        <w:rPr>
          <w:rFonts w:hint="eastAsia" w:ascii="仿宋" w:hAnsi="仿宋" w:eastAsia="仿宋" w:cs="宋体"/>
          <w:bCs/>
          <w:sz w:val="28"/>
          <w:szCs w:val="28"/>
        </w:rPr>
        <w:t>、成交供应商拒绝与采购人签订合同的，采购人可以按照评审报告推荐的成交候选人名单排序，确定下一候选人为成交供应商，也可以重新开展政府采购活动。</w:t>
      </w:r>
      <w:bookmarkStart w:id="0" w:name="_GoBack"/>
      <w:bookmarkEnd w:id="0"/>
    </w:p>
    <w:p>
      <w:pPr>
        <w:spacing w:line="360" w:lineRule="auto"/>
        <w:rPr>
          <w:rFonts w:ascii="仿宋" w:hAnsi="仿宋" w:eastAsia="仿宋" w:cs="宋体"/>
          <w:b/>
          <w:bCs/>
          <w:color w:val="FF0000"/>
          <w:sz w:val="28"/>
          <w:szCs w:val="28"/>
        </w:rPr>
      </w:pPr>
    </w:p>
    <w:p>
      <w:pPr>
        <w:widowControl/>
        <w:jc w:val="left"/>
        <w:rPr>
          <w:rFonts w:ascii="仿宋" w:hAnsi="仿宋" w:eastAsia="仿宋" w:cs="宋体"/>
          <w:bCs/>
          <w:sz w:val="28"/>
          <w:szCs w:val="28"/>
        </w:rPr>
      </w:pPr>
      <w:r>
        <w:rPr>
          <w:rFonts w:ascii="仿宋" w:hAnsi="仿宋" w:eastAsia="仿宋" w:cs="宋体"/>
          <w:bCs/>
          <w:sz w:val="28"/>
          <w:szCs w:val="28"/>
        </w:rPr>
        <w:br w:type="page"/>
      </w:r>
    </w:p>
    <w:p>
      <w:pPr>
        <w:spacing w:line="360" w:lineRule="auto"/>
        <w:jc w:val="center"/>
        <w:rPr>
          <w:rFonts w:hint="eastAsia" w:ascii="方正黑体_GBK" w:hAnsi="方正黑体_GBK" w:eastAsia="方正黑体_GBK" w:cs="方正黑体_GBK"/>
          <w:b/>
          <w:bCs/>
          <w:sz w:val="36"/>
          <w:szCs w:val="32"/>
          <w:lang w:eastAsia="zh-CN"/>
        </w:rPr>
      </w:pPr>
      <w:r>
        <w:rPr>
          <w:rFonts w:hint="eastAsia" w:ascii="方正黑体_GBK" w:hAnsi="方正黑体_GBK" w:eastAsia="方正黑体_GBK" w:cs="方正黑体_GBK"/>
          <w:b/>
          <w:bCs/>
          <w:sz w:val="36"/>
          <w:szCs w:val="32"/>
        </w:rPr>
        <w:t>评分标准</w:t>
      </w:r>
      <w:r>
        <w:rPr>
          <w:rFonts w:hint="eastAsia" w:ascii="方正黑体_GBK" w:hAnsi="方正黑体_GBK" w:eastAsia="方正黑体_GBK" w:cs="方正黑体_GBK"/>
          <w:b/>
          <w:bCs/>
          <w:sz w:val="36"/>
          <w:szCs w:val="32"/>
          <w:lang w:eastAsia="zh-CN"/>
        </w:rPr>
        <w:t>和评分方法</w:t>
      </w:r>
    </w:p>
    <w:p>
      <w:pPr>
        <w:spacing w:line="302" w:lineRule="auto"/>
        <w:rPr>
          <w:rFonts w:ascii="宋体" w:hAnsi="宋体"/>
          <w:sz w:val="21"/>
          <w:szCs w:val="21"/>
        </w:rPr>
      </w:pPr>
      <w:r>
        <w:rPr>
          <w:rFonts w:hint="eastAsia" w:ascii="宋体" w:hAnsi="宋体"/>
          <w:sz w:val="21"/>
          <w:szCs w:val="21"/>
        </w:rPr>
        <w:t>1、评分方法：采用综合评分法，满分为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2、价格分采用低价优先法计算，即满足遴选文件要求且报价最低的报价为评标基准价，其价格分为满分，其他</w:t>
      </w:r>
      <w:r>
        <w:rPr>
          <w:rFonts w:hint="eastAsia" w:ascii="宋体" w:hAnsi="宋体"/>
          <w:sz w:val="21"/>
          <w:szCs w:val="21"/>
          <w:lang w:eastAsia="zh-CN"/>
        </w:rPr>
        <w:t>供应商</w:t>
      </w:r>
      <w:r>
        <w:rPr>
          <w:rFonts w:hint="eastAsia" w:ascii="宋体" w:hAnsi="宋体"/>
          <w:sz w:val="21"/>
          <w:szCs w:val="21"/>
        </w:rPr>
        <w:t>的价格分统一按下列公式计算：</w:t>
      </w:r>
    </w:p>
    <w:p>
      <w:pPr>
        <w:spacing w:line="302" w:lineRule="auto"/>
        <w:rPr>
          <w:rFonts w:ascii="宋体" w:hAnsi="宋体"/>
          <w:sz w:val="21"/>
          <w:szCs w:val="21"/>
        </w:rPr>
      </w:pPr>
      <w:r>
        <w:rPr>
          <w:rFonts w:hint="eastAsia" w:ascii="宋体" w:hAnsi="宋体"/>
          <w:sz w:val="21"/>
          <w:szCs w:val="21"/>
        </w:rPr>
        <w:t>报价得分=（评标基准价/报价）×价格权值×100。</w:t>
      </w:r>
    </w:p>
    <w:p>
      <w:pPr>
        <w:spacing w:line="302" w:lineRule="auto"/>
        <w:rPr>
          <w:rFonts w:ascii="宋体" w:hAnsi="宋体"/>
          <w:sz w:val="21"/>
          <w:szCs w:val="21"/>
        </w:rPr>
      </w:pPr>
      <w:r>
        <w:rPr>
          <w:rFonts w:hint="eastAsia" w:ascii="宋体" w:hAnsi="宋体"/>
          <w:sz w:val="21"/>
          <w:szCs w:val="21"/>
        </w:rPr>
        <w:t>3、最低报价不作为成交保证。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w:t>
      </w:r>
      <w:r>
        <w:rPr>
          <w:rFonts w:hint="eastAsia" w:ascii="宋体" w:hAnsi="宋体"/>
          <w:sz w:val="21"/>
          <w:szCs w:val="21"/>
          <w:lang w:eastAsia="zh-CN"/>
        </w:rPr>
        <w:t>供应商</w:t>
      </w:r>
      <w:r>
        <w:rPr>
          <w:rFonts w:hint="eastAsia" w:ascii="宋体" w:hAnsi="宋体"/>
          <w:sz w:val="21"/>
          <w:szCs w:val="21"/>
        </w:rPr>
        <w:t>的报价给予6%的扣除，用扣除后的价格参与评审。</w:t>
      </w:r>
    </w:p>
    <w:p>
      <w:pPr>
        <w:widowControl/>
        <w:adjustRightInd/>
        <w:spacing w:line="400" w:lineRule="exact"/>
        <w:jc w:val="both"/>
        <w:textAlignment w:val="auto"/>
        <w:rPr>
          <w:rFonts w:hint="eastAsia" w:ascii="方正黑体_GBK" w:hAnsi="方正黑体_GBK" w:eastAsia="方正黑体_GBK" w:cs="方正黑体_GBK"/>
          <w:b/>
          <w:bCs/>
          <w:sz w:val="36"/>
          <w:szCs w:val="32"/>
        </w:rPr>
      </w:pPr>
      <w:r>
        <w:rPr>
          <w:rFonts w:hint="eastAsia" w:ascii="宋体" w:hAnsi="宋体"/>
          <w:sz w:val="21"/>
          <w:szCs w:val="21"/>
        </w:rPr>
        <w:t>5、具体评分标准：</w:t>
      </w:r>
    </w:p>
    <w:tbl>
      <w:tblPr>
        <w:tblStyle w:val="7"/>
        <w:tblpPr w:leftFromText="180" w:rightFromText="180" w:vertAnchor="text" w:horzAnchor="page" w:tblpX="1685" w:tblpY="329"/>
        <w:tblOverlap w:val="never"/>
        <w:tblW w:w="9214" w:type="dxa"/>
        <w:tblInd w:w="0" w:type="dxa"/>
        <w:tblLayout w:type="fixed"/>
        <w:tblCellMar>
          <w:top w:w="0" w:type="dxa"/>
          <w:left w:w="108" w:type="dxa"/>
          <w:bottom w:w="0" w:type="dxa"/>
          <w:right w:w="108" w:type="dxa"/>
        </w:tblCellMar>
      </w:tblPr>
      <w:tblGrid>
        <w:gridCol w:w="490"/>
        <w:gridCol w:w="1033"/>
        <w:gridCol w:w="1137"/>
        <w:gridCol w:w="5796"/>
        <w:gridCol w:w="758"/>
      </w:tblGrid>
      <w:tr>
        <w:tblPrEx>
          <w:tblCellMar>
            <w:top w:w="0" w:type="dxa"/>
            <w:left w:w="108" w:type="dxa"/>
            <w:bottom w:w="0" w:type="dxa"/>
            <w:right w:w="108" w:type="dxa"/>
          </w:tblCellMar>
        </w:tblPrEx>
        <w:trPr>
          <w:trHeight w:val="330" w:hRule="atLeast"/>
        </w:trPr>
        <w:tc>
          <w:tcPr>
            <w:tcW w:w="49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2170" w:type="dxa"/>
            <w:gridSpan w:val="2"/>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评审因素</w:t>
            </w:r>
          </w:p>
        </w:tc>
        <w:tc>
          <w:tcPr>
            <w:tcW w:w="5796" w:type="dxa"/>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评分标准说明</w:t>
            </w:r>
          </w:p>
        </w:tc>
        <w:tc>
          <w:tcPr>
            <w:tcW w:w="75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分值</w:t>
            </w:r>
          </w:p>
        </w:tc>
      </w:tr>
      <w:tr>
        <w:tblPrEx>
          <w:tblCellMar>
            <w:top w:w="0" w:type="dxa"/>
            <w:left w:w="108" w:type="dxa"/>
            <w:bottom w:w="0" w:type="dxa"/>
            <w:right w:w="108" w:type="dxa"/>
          </w:tblCellMar>
        </w:tblPrEx>
        <w:trPr>
          <w:trHeight w:val="913" w:hRule="atLeast"/>
        </w:trPr>
        <w:tc>
          <w:tcPr>
            <w:tcW w:w="490" w:type="dxa"/>
            <w:vMerge w:val="restart"/>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1</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商务部分</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基本情况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（5分）</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资信情况、财务状况良好（财务审计报告</w:t>
            </w:r>
            <w:r>
              <w:rPr>
                <w:rFonts w:hint="eastAsia" w:ascii="仿宋_GB2312" w:hAnsi="仿宋_GB2312" w:eastAsia="仿宋_GB2312" w:cs="仿宋_GB2312"/>
                <w:sz w:val="18"/>
                <w:szCs w:val="18"/>
                <w:lang w:eastAsia="zh-CN"/>
              </w:rPr>
              <w:t>等</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，财务管理规范，有专业财务管理队伍。</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0-5</w:t>
            </w:r>
          </w:p>
        </w:tc>
      </w:tr>
      <w:tr>
        <w:tblPrEx>
          <w:tblCellMar>
            <w:top w:w="0" w:type="dxa"/>
            <w:left w:w="108" w:type="dxa"/>
            <w:bottom w:w="0" w:type="dxa"/>
            <w:right w:w="108" w:type="dxa"/>
          </w:tblCellMar>
        </w:tblPrEx>
        <w:trPr>
          <w:trHeight w:val="1511" w:hRule="atLeast"/>
        </w:trPr>
        <w:tc>
          <w:tcPr>
            <w:tcW w:w="490" w:type="dxa"/>
            <w:vMerge w:val="continue"/>
            <w:tcBorders>
              <w:top w:val="nil"/>
              <w:left w:val="single" w:color="auto" w:sz="8" w:space="0"/>
              <w:bottom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的业绩</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20</w:t>
            </w:r>
            <w:r>
              <w:rPr>
                <w:rFonts w:hint="eastAsia" w:ascii="仿宋_GB2312" w:hAnsi="仿宋_GB2312" w:eastAsia="仿宋_GB2312" w:cs="仿宋_GB2312"/>
                <w:sz w:val="18"/>
                <w:szCs w:val="18"/>
              </w:rPr>
              <w:t>分）</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供应商近三年（2019年1月起至本采购活动遴选公告发布前（以合同签订日期为准）承接过政府委托服务项目业绩，每提供1个业绩得5分，最多得20分。</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注：需提供业绩合同或协议复印件并加盖公章，如无材料证明或证明材料不完整，上述内容将视为零分。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0-20</w:t>
            </w:r>
          </w:p>
        </w:tc>
      </w:tr>
      <w:tr>
        <w:tblPrEx>
          <w:tblCellMar>
            <w:top w:w="0" w:type="dxa"/>
            <w:left w:w="108" w:type="dxa"/>
            <w:bottom w:w="0" w:type="dxa"/>
            <w:right w:w="108" w:type="dxa"/>
          </w:tblCellMar>
        </w:tblPrEx>
        <w:trPr>
          <w:trHeight w:val="420" w:hRule="atLeast"/>
        </w:trPr>
        <w:tc>
          <w:tcPr>
            <w:tcW w:w="490" w:type="dxa"/>
            <w:vMerge w:val="restart"/>
            <w:tcBorders>
              <w:top w:val="nil"/>
              <w:left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2</w:t>
            </w:r>
          </w:p>
        </w:tc>
        <w:tc>
          <w:tcPr>
            <w:tcW w:w="103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技术部分（6</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项目方案</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方案科学合理性强、内容详细全面，可行性强,得25-35分；项目方案科学合理性较强、内容较为详细全面，可行性较好,得9-24分；项目方案科学合理、内容一般，有可行性,得1-8分；项目方案科学合理较差、内容不充实，可行性差,得0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0-35</w:t>
            </w:r>
          </w:p>
        </w:tc>
      </w:tr>
      <w:tr>
        <w:tblPrEx>
          <w:tblCellMar>
            <w:top w:w="0" w:type="dxa"/>
            <w:left w:w="108" w:type="dxa"/>
            <w:bottom w:w="0" w:type="dxa"/>
            <w:right w:w="108" w:type="dxa"/>
          </w:tblCellMar>
        </w:tblPrEx>
        <w:trPr>
          <w:trHeight w:val="420" w:hRule="atLeast"/>
        </w:trPr>
        <w:tc>
          <w:tcPr>
            <w:tcW w:w="490" w:type="dxa"/>
            <w:vMerge w:val="continue"/>
            <w:tcBorders>
              <w:left w:val="single" w:color="auto" w:sz="8" w:space="0"/>
              <w:right w:val="single" w:color="auto" w:sz="4" w:space="0"/>
            </w:tcBorders>
            <w:noWrap w:val="0"/>
            <w:vAlign w:val="center"/>
          </w:tcPr>
          <w:p>
            <w:pPr>
              <w:widowControl/>
              <w:jc w:val="center"/>
              <w:rPr>
                <w:rFonts w:ascii="宋体" w:hAnsi="宋体" w:cs="Arial"/>
                <w:color w:val="000000"/>
                <w:sz w:val="18"/>
                <w:szCs w:val="18"/>
              </w:rPr>
            </w:pPr>
          </w:p>
        </w:tc>
        <w:tc>
          <w:tcPr>
            <w:tcW w:w="1033"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项目人员配备</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color w:val="000000"/>
                <w:kern w:val="0"/>
                <w:sz w:val="18"/>
                <w:szCs w:val="18"/>
                <w:u w:val="none"/>
                <w:lang w:val="en-US" w:eastAsia="zh-CN" w:bidi="ar-SA"/>
              </w:rPr>
              <w:t>拟投入本项目团队人员评价：</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（1）类似工作经验丰富，学历（专业）优于/符合要求，分工明确，与项目实际契合度高，得7-10分；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（2）类似工作经验较丰富，学历（专业）符合要求，分工较明确，与项目实际契合度较高，得4-6分；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（3）类似工作经验一般，学历（专业）基本满足要求，分工一般，与项目实际契合度一般，得1-3分；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（4）类似工作经验较差，学历（专业）较差，分工不明确，无法满足实际需要，得0分。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注：需提供项目团队人员劳动合同复印件、工作简历、学历证书复印件。</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1635" w:hRule="atLeast"/>
        </w:trPr>
        <w:tc>
          <w:tcPr>
            <w:tcW w:w="490" w:type="dxa"/>
            <w:vMerge w:val="continue"/>
            <w:tcBorders>
              <w:left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left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质量保证措施</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供应商质量管理体系健全，技术支持有保障，人员安排合理，能够在服务期内高质量完成合同要求。优秀的，得7-10分；良好的，得4-6分；一般的，得1-3分；较差的，得0分。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2355" w:hRule="atLeast"/>
        </w:trPr>
        <w:tc>
          <w:tcPr>
            <w:tcW w:w="490" w:type="dxa"/>
            <w:vMerge w:val="continue"/>
            <w:tcBorders>
              <w:left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服务承诺</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i w:val="0"/>
                <w:color w:val="000000"/>
                <w:kern w:val="0"/>
                <w:sz w:val="18"/>
                <w:szCs w:val="18"/>
                <w:u w:val="none"/>
                <w:lang w:val="en-US" w:eastAsia="zh-CN" w:bidi="ar-SA"/>
              </w:rPr>
            </w:pPr>
            <w:r>
              <w:rPr>
                <w:rStyle w:val="17"/>
                <w:rFonts w:hint="eastAsia" w:ascii="仿宋_GB2312" w:hAnsi="仿宋_GB2312" w:eastAsia="仿宋_GB2312" w:cs="仿宋_GB2312"/>
                <w:sz w:val="18"/>
                <w:szCs w:val="18"/>
                <w:lang w:val="en-US" w:eastAsia="zh-CN" w:bidi="ar-SA"/>
              </w:rPr>
              <w:t>供应商须提供沟通机制，内容包括①服务人员安排②沟通方案，要求有专人定期沟通、配合。优秀的，得</w:t>
            </w:r>
            <w:r>
              <w:rPr>
                <w:rFonts w:hint="eastAsia" w:ascii="仿宋_GB2312" w:hAnsi="仿宋_GB2312" w:eastAsia="仿宋_GB2312" w:cs="仿宋_GB2312"/>
                <w:i w:val="0"/>
                <w:color w:val="000000"/>
                <w:kern w:val="0"/>
                <w:sz w:val="18"/>
                <w:szCs w:val="18"/>
                <w:u w:val="none"/>
                <w:lang w:val="en-US" w:eastAsia="zh-CN" w:bidi="ar-SA"/>
              </w:rPr>
              <w:t>7-10</w:t>
            </w:r>
            <w:r>
              <w:rPr>
                <w:rStyle w:val="17"/>
                <w:rFonts w:hint="eastAsia" w:ascii="仿宋_GB2312" w:hAnsi="仿宋_GB2312" w:eastAsia="仿宋_GB2312" w:cs="仿宋_GB2312"/>
                <w:sz w:val="18"/>
                <w:szCs w:val="18"/>
                <w:lang w:val="en-US" w:eastAsia="zh-CN" w:bidi="ar-SA"/>
              </w:rPr>
              <w:t>分；良好的，得</w:t>
            </w:r>
            <w:r>
              <w:rPr>
                <w:rFonts w:hint="eastAsia" w:ascii="仿宋_GB2312" w:hAnsi="仿宋_GB2312" w:eastAsia="仿宋_GB2312" w:cs="仿宋_GB2312"/>
                <w:i w:val="0"/>
                <w:color w:val="000000"/>
                <w:kern w:val="0"/>
                <w:sz w:val="18"/>
                <w:szCs w:val="18"/>
                <w:u w:val="none"/>
                <w:lang w:val="en-US" w:eastAsia="zh-CN" w:bidi="ar-SA"/>
              </w:rPr>
              <w:t>4-6</w:t>
            </w:r>
            <w:r>
              <w:rPr>
                <w:rStyle w:val="17"/>
                <w:rFonts w:hint="eastAsia" w:ascii="仿宋_GB2312" w:hAnsi="仿宋_GB2312" w:eastAsia="仿宋_GB2312" w:cs="仿宋_GB2312"/>
                <w:sz w:val="18"/>
                <w:szCs w:val="18"/>
                <w:lang w:val="en-US" w:eastAsia="zh-CN" w:bidi="ar-SA"/>
              </w:rPr>
              <w:t>分；一般的，得</w:t>
            </w:r>
            <w:r>
              <w:rPr>
                <w:rFonts w:hint="eastAsia" w:ascii="仿宋_GB2312" w:hAnsi="仿宋_GB2312" w:eastAsia="仿宋_GB2312" w:cs="仿宋_GB2312"/>
                <w:i w:val="0"/>
                <w:color w:val="000000"/>
                <w:kern w:val="0"/>
                <w:sz w:val="18"/>
                <w:szCs w:val="18"/>
                <w:u w:val="none"/>
                <w:lang w:val="en-US" w:eastAsia="zh-CN" w:bidi="ar-SA"/>
              </w:rPr>
              <w:t>1-3</w:t>
            </w:r>
            <w:r>
              <w:rPr>
                <w:rStyle w:val="17"/>
                <w:rFonts w:hint="eastAsia" w:ascii="仿宋_GB2312" w:hAnsi="仿宋_GB2312" w:eastAsia="仿宋_GB2312" w:cs="仿宋_GB2312"/>
                <w:sz w:val="18"/>
                <w:szCs w:val="18"/>
                <w:lang w:val="en-US" w:eastAsia="zh-CN" w:bidi="ar-SA"/>
              </w:rPr>
              <w:t>分；较差的，得</w:t>
            </w:r>
            <w:r>
              <w:rPr>
                <w:rFonts w:hint="eastAsia" w:ascii="仿宋_GB2312" w:hAnsi="仿宋_GB2312" w:eastAsia="仿宋_GB2312" w:cs="仿宋_GB2312"/>
                <w:i w:val="0"/>
                <w:color w:val="000000"/>
                <w:kern w:val="0"/>
                <w:sz w:val="18"/>
                <w:szCs w:val="18"/>
                <w:u w:val="none"/>
                <w:lang w:val="en-US" w:eastAsia="zh-CN" w:bidi="ar-SA"/>
              </w:rPr>
              <w:t>0</w:t>
            </w:r>
            <w:r>
              <w:rPr>
                <w:rStyle w:val="17"/>
                <w:rFonts w:hint="eastAsia" w:ascii="仿宋_GB2312" w:hAnsi="仿宋_GB2312" w:eastAsia="仿宋_GB2312" w:cs="仿宋_GB2312"/>
                <w:sz w:val="18"/>
                <w:szCs w:val="18"/>
                <w:lang w:val="en-US" w:eastAsia="zh-CN" w:bidi="ar-SA"/>
              </w:rPr>
              <w:t>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510" w:hRule="atLeast"/>
        </w:trPr>
        <w:tc>
          <w:tcPr>
            <w:tcW w:w="490"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3</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投标报价（10分）</w:t>
            </w:r>
          </w:p>
        </w:tc>
        <w:tc>
          <w:tcPr>
            <w:tcW w:w="693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报价得分=（评标基准价/报价）×价格权值×100</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0-</w:t>
            </w:r>
            <w:r>
              <w:rPr>
                <w:rFonts w:hint="eastAsia" w:ascii="仿宋_GB2312" w:hAnsi="仿宋_GB2312" w:eastAsia="仿宋_GB2312" w:cs="仿宋_GB2312"/>
                <w:color w:val="000000"/>
                <w:sz w:val="18"/>
                <w:szCs w:val="18"/>
              </w:rPr>
              <w:t>10</w:t>
            </w:r>
          </w:p>
        </w:tc>
      </w:tr>
    </w:tbl>
    <w:p>
      <w:pPr>
        <w:spacing w:line="360" w:lineRule="auto"/>
        <w:jc w:val="both"/>
        <w:rPr>
          <w:rFonts w:ascii="仿宋" w:hAnsi="仿宋" w:eastAsia="仿宋" w:cs="宋体"/>
          <w:b/>
          <w:bCs/>
          <w:sz w:val="32"/>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06EFD077"/>
    <w:rsid w:val="1FF7C9F3"/>
    <w:rsid w:val="258D77C5"/>
    <w:rsid w:val="37FA1A10"/>
    <w:rsid w:val="3EFB10D2"/>
    <w:rsid w:val="473506D4"/>
    <w:rsid w:val="4EFF4872"/>
    <w:rsid w:val="533B5485"/>
    <w:rsid w:val="5AF10265"/>
    <w:rsid w:val="6F57F168"/>
    <w:rsid w:val="7EBB8D2D"/>
    <w:rsid w:val="7FFF8711"/>
    <w:rsid w:val="AF8EA435"/>
    <w:rsid w:val="D5E970FD"/>
    <w:rsid w:val="DFF1A4FF"/>
    <w:rsid w:val="F5BB972E"/>
    <w:rsid w:val="F76D5576"/>
    <w:rsid w:val="FDF87BFC"/>
    <w:rsid w:val="FEFE0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List Paragraph"/>
    <w:basedOn w:val="1"/>
    <w:link w:val="13"/>
    <w:qFormat/>
    <w:uiPriority w:val="34"/>
    <w:pPr>
      <w:ind w:firstLine="420" w:firstLineChars="200"/>
    </w:pPr>
    <w:rPr>
      <w:rFonts w:ascii="Calibri" w:hAnsi="Calibri"/>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列出段落 Char"/>
    <w:link w:val="10"/>
    <w:qFormat/>
    <w:uiPriority w:val="34"/>
    <w:rPr>
      <w:rFonts w:ascii="Calibri" w:hAnsi="Calibri"/>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 w:type="character" w:customStyle="1" w:styleId="17">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1639</Words>
  <Characters>1705</Characters>
  <Lines>15</Lines>
  <Paragraphs>4</Paragraphs>
  <TotalTime>1</TotalTime>
  <ScaleCrop>false</ScaleCrop>
  <LinksUpToDate>false</LinksUpToDate>
  <CharactersWithSpaces>1705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2022-04-22T20:00:00Z</dcterms:created>
  <dc:creator>强文晓</dc:creator>
  <cp:lastModifiedBy>admin</cp:lastModifiedBy>
  <cp:lastPrinted>2022-05-27T07:59:00Z</cp:lastPrinted>
  <dcterms:modified xsi:type="dcterms:W3CDTF">2023-06-13T18:59:01Z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C5C069B44ED14A5184518C148979D706</vt:lpwstr>
  </property>
</Properties>
</file>