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E2" w:rsidRDefault="00C714F5">
      <w:pPr>
        <w:spacing w:line="360" w:lineRule="auto"/>
        <w:rPr>
          <w:rFonts w:ascii="黑体" w:eastAsia="黑体" w:hAnsi="黑体" w:cs="黑体"/>
          <w:sz w:val="32"/>
          <w:szCs w:val="28"/>
        </w:rPr>
      </w:pPr>
      <w:bookmarkStart w:id="0" w:name="_GoBack"/>
      <w:bookmarkEnd w:id="0"/>
      <w:r>
        <w:rPr>
          <w:rFonts w:ascii="黑体" w:eastAsia="黑体" w:hAnsi="黑体" w:cs="黑体" w:hint="eastAsia"/>
          <w:sz w:val="32"/>
          <w:szCs w:val="28"/>
        </w:rPr>
        <w:t>附件1</w:t>
      </w:r>
    </w:p>
    <w:p w:rsidR="00AA0DE2" w:rsidRPr="00A021E5" w:rsidRDefault="00C714F5">
      <w:pPr>
        <w:pStyle w:val="a8"/>
        <w:widowControl/>
        <w:spacing w:before="0" w:beforeAutospacing="0" w:after="0" w:afterAutospacing="0" w:line="540" w:lineRule="exact"/>
        <w:jc w:val="center"/>
        <w:rPr>
          <w:rFonts w:ascii="黑体" w:eastAsia="黑体" w:hAnsi="黑体" w:cs="方正小标宋简体"/>
          <w:sz w:val="44"/>
          <w:szCs w:val="44"/>
        </w:rPr>
      </w:pPr>
      <w:r w:rsidRPr="00A021E5">
        <w:rPr>
          <w:rFonts w:ascii="黑体" w:eastAsia="黑体" w:hAnsi="黑体" w:cs="方正小标宋简体" w:hint="eastAsia"/>
          <w:sz w:val="44"/>
          <w:szCs w:val="44"/>
        </w:rPr>
        <w:t>申请人须知、评分标准和评分方法</w:t>
      </w:r>
    </w:p>
    <w:p w:rsidR="00AA0DE2" w:rsidRDefault="00AA0DE2">
      <w:pPr>
        <w:spacing w:line="360" w:lineRule="auto"/>
        <w:rPr>
          <w:rFonts w:ascii="仿宋" w:eastAsia="仿宋" w:hAnsi="仿宋" w:cs="宋体"/>
          <w:b/>
          <w:bCs/>
          <w:sz w:val="32"/>
          <w:szCs w:val="28"/>
        </w:rPr>
      </w:pPr>
    </w:p>
    <w:p w:rsidR="00AA0DE2" w:rsidRDefault="00C714F5">
      <w:pPr>
        <w:spacing w:line="360" w:lineRule="auto"/>
        <w:rPr>
          <w:rFonts w:ascii="仿宋" w:eastAsia="仿宋" w:hAnsi="仿宋" w:cs="宋体"/>
          <w:b/>
          <w:bCs/>
          <w:sz w:val="32"/>
          <w:szCs w:val="28"/>
        </w:rPr>
      </w:pPr>
      <w:r>
        <w:rPr>
          <w:rFonts w:ascii="仿宋" w:eastAsia="仿宋" w:hAnsi="仿宋" w:cs="宋体"/>
          <w:b/>
          <w:bCs/>
          <w:sz w:val="32"/>
          <w:szCs w:val="28"/>
        </w:rPr>
        <w:t>申请人须知</w:t>
      </w:r>
    </w:p>
    <w:p w:rsidR="00AA0DE2" w:rsidRDefault="00C714F5">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1、遴选响应文件签署和盖章要求：遴选响应文件需打印或用不退色墨水书写，由申请人的法定代表人或其授权代表在遴选文件规定的地方签字，并进行逐页盖章或加盖骑缝章。</w:t>
      </w:r>
    </w:p>
    <w:p w:rsidR="00AA0DE2" w:rsidRDefault="00C714F5">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2、遴选小组对申请人的遴选响应文件进行商务审查，以确定其是否满足遴选文件的实质性要求，并形成商务审查结果。申请人有任何一项不符合《商务审查表》要求的，</w:t>
      </w:r>
      <w:r>
        <w:rPr>
          <w:rFonts w:ascii="仿宋_GB2312" w:eastAsia="仿宋_GB2312" w:hAnsi="仿宋_GB2312" w:cs="仿宋_GB2312" w:hint="eastAsia"/>
          <w:b/>
          <w:bCs/>
          <w:sz w:val="28"/>
          <w:szCs w:val="28"/>
        </w:rPr>
        <w:t>遴选响应无效。</w:t>
      </w:r>
    </w:p>
    <w:p w:rsidR="00AA0DE2" w:rsidRDefault="00C714F5">
      <w:pPr>
        <w:spacing w:line="360" w:lineRule="auto"/>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商务审查表</w:t>
      </w:r>
    </w:p>
    <w:tbl>
      <w:tblPr>
        <w:tblW w:w="8925" w:type="dxa"/>
        <w:tblLayout w:type="fixed"/>
        <w:tblLook w:val="04A0" w:firstRow="1" w:lastRow="0" w:firstColumn="1" w:lastColumn="0" w:noHBand="0" w:noVBand="1"/>
      </w:tblPr>
      <w:tblGrid>
        <w:gridCol w:w="1153"/>
        <w:gridCol w:w="4230"/>
        <w:gridCol w:w="3542"/>
      </w:tblGrid>
      <w:tr w:rsidR="00AA0DE2">
        <w:trPr>
          <w:trHeight w:val="840"/>
        </w:trPr>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序号</w:t>
            </w:r>
          </w:p>
        </w:tc>
        <w:tc>
          <w:tcPr>
            <w:tcW w:w="7772" w:type="dxa"/>
            <w:gridSpan w:val="2"/>
            <w:tcBorders>
              <w:top w:val="single" w:sz="4" w:space="0" w:color="auto"/>
              <w:left w:val="nil"/>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8"/>
                <w:szCs w:val="28"/>
              </w:rPr>
              <w:t>审查内容</w:t>
            </w:r>
          </w:p>
        </w:tc>
      </w:tr>
      <w:tr w:rsidR="00AA0DE2">
        <w:trPr>
          <w:trHeight w:val="668"/>
        </w:trPr>
        <w:tc>
          <w:tcPr>
            <w:tcW w:w="1153" w:type="dxa"/>
            <w:tcBorders>
              <w:top w:val="nil"/>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7772" w:type="dxa"/>
            <w:gridSpan w:val="2"/>
            <w:tcBorders>
              <w:top w:val="nil"/>
              <w:left w:val="single" w:sz="4" w:space="0" w:color="000000"/>
              <w:bottom w:val="single" w:sz="4" w:space="0" w:color="000000"/>
              <w:right w:val="single" w:sz="4" w:space="0" w:color="auto"/>
            </w:tcBorders>
            <w:shd w:val="clear" w:color="auto" w:fill="auto"/>
            <w:vAlign w:val="center"/>
          </w:tcPr>
          <w:p w:rsidR="00AA0DE2" w:rsidRDefault="00C714F5">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遴选报价是否超过遴选文件规定预算金额</w:t>
            </w:r>
          </w:p>
        </w:tc>
      </w:tr>
      <w:tr w:rsidR="00AA0DE2">
        <w:trPr>
          <w:trHeight w:val="706"/>
        </w:trPr>
        <w:tc>
          <w:tcPr>
            <w:tcW w:w="1153" w:type="dxa"/>
            <w:tcBorders>
              <w:top w:val="nil"/>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7772" w:type="dxa"/>
            <w:gridSpan w:val="2"/>
            <w:tcBorders>
              <w:top w:val="nil"/>
              <w:left w:val="single" w:sz="4" w:space="0" w:color="000000"/>
              <w:bottom w:val="single" w:sz="4" w:space="0" w:color="000000"/>
              <w:right w:val="single" w:sz="4" w:space="0" w:color="auto"/>
            </w:tcBorders>
            <w:shd w:val="clear" w:color="auto" w:fill="auto"/>
            <w:vAlign w:val="center"/>
          </w:tcPr>
          <w:p w:rsidR="00AA0DE2" w:rsidRDefault="00C714F5">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遴选文件的签署、盖章是否合格</w:t>
            </w:r>
          </w:p>
        </w:tc>
      </w:tr>
      <w:tr w:rsidR="00AA0DE2">
        <w:trPr>
          <w:trHeight w:val="830"/>
        </w:trPr>
        <w:tc>
          <w:tcPr>
            <w:tcW w:w="1153" w:type="dxa"/>
            <w:tcBorders>
              <w:top w:val="nil"/>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7772" w:type="dxa"/>
            <w:gridSpan w:val="2"/>
            <w:tcBorders>
              <w:top w:val="nil"/>
              <w:left w:val="single" w:sz="4" w:space="0" w:color="auto"/>
              <w:bottom w:val="single" w:sz="4" w:space="0" w:color="auto"/>
              <w:right w:val="single" w:sz="4" w:space="0" w:color="auto"/>
            </w:tcBorders>
            <w:shd w:val="clear" w:color="auto" w:fill="auto"/>
            <w:vAlign w:val="center"/>
          </w:tcPr>
          <w:p w:rsidR="00AA0DE2" w:rsidRDefault="00C714F5">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是否提供满足遴选文件中要求的申请人资格要求的承诺函</w:t>
            </w:r>
          </w:p>
        </w:tc>
      </w:tr>
      <w:tr w:rsidR="00AA0DE2">
        <w:trPr>
          <w:trHeight w:val="765"/>
        </w:trPr>
        <w:tc>
          <w:tcPr>
            <w:tcW w:w="5383" w:type="dxa"/>
            <w:gridSpan w:val="2"/>
            <w:tcBorders>
              <w:top w:val="single" w:sz="4" w:space="0" w:color="auto"/>
              <w:left w:val="single" w:sz="4" w:space="0" w:color="auto"/>
              <w:bottom w:val="single" w:sz="4" w:space="0" w:color="auto"/>
              <w:right w:val="nil"/>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结论</w:t>
            </w:r>
          </w:p>
        </w:tc>
        <w:tc>
          <w:tcPr>
            <w:tcW w:w="3542" w:type="dxa"/>
            <w:tcBorders>
              <w:top w:val="nil"/>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合格/不合格</w:t>
            </w:r>
          </w:p>
        </w:tc>
      </w:tr>
    </w:tbl>
    <w:p w:rsidR="00AA0DE2" w:rsidRDefault="00C714F5">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3、遴选响应文件有关事项的澄清或者说明：评审过程中，遴选小组会将以书面形式要求申请人对其遴选响应文件中含义不明确、同类问题表述不一致或者有明显文字和计算错误的内容，</w:t>
      </w:r>
      <w:proofErr w:type="gramStart"/>
      <w:r>
        <w:rPr>
          <w:rFonts w:ascii="仿宋_GB2312" w:eastAsia="仿宋_GB2312" w:hAnsi="仿宋_GB2312" w:cs="仿宋_GB2312" w:hint="eastAsia"/>
          <w:bCs/>
          <w:sz w:val="28"/>
          <w:szCs w:val="28"/>
        </w:rPr>
        <w:t>作出</w:t>
      </w:r>
      <w:proofErr w:type="gramEnd"/>
      <w:r>
        <w:rPr>
          <w:rFonts w:ascii="仿宋_GB2312" w:eastAsia="仿宋_GB2312" w:hAnsi="仿宋_GB2312" w:cs="仿宋_GB2312" w:hint="eastAsia"/>
          <w:bCs/>
          <w:sz w:val="28"/>
          <w:szCs w:val="28"/>
        </w:rPr>
        <w:t>必要的澄清、说明或者补正。申请人的澄清、说明或者补正应当采用书面形式，并加盖公章，或者由法定代表人或其授权的代表签字。申请人的澄清、说明或者补正</w:t>
      </w:r>
      <w:r>
        <w:rPr>
          <w:rFonts w:ascii="仿宋_GB2312" w:eastAsia="仿宋_GB2312" w:hAnsi="仿宋_GB2312" w:cs="仿宋_GB2312" w:hint="eastAsia"/>
          <w:bCs/>
          <w:sz w:val="28"/>
          <w:szCs w:val="28"/>
        </w:rPr>
        <w:lastRenderedPageBreak/>
        <w:t>不得超出遴选文件的范围或者改变遴选文件的实质性内容。澄清文件将作为遴选文件内容的一部分。</w:t>
      </w:r>
    </w:p>
    <w:p w:rsidR="00AA0DE2" w:rsidRDefault="00C714F5">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w:t>
      </w:r>
      <w:proofErr w:type="gramStart"/>
      <w:r>
        <w:rPr>
          <w:rFonts w:ascii="仿宋_GB2312" w:eastAsia="仿宋_GB2312" w:hAnsi="仿宋_GB2312" w:cs="仿宋_GB2312" w:hint="eastAsia"/>
          <w:bCs/>
          <w:sz w:val="28"/>
          <w:szCs w:val="28"/>
        </w:rPr>
        <w:t>且按照</w:t>
      </w:r>
      <w:proofErr w:type="gramEnd"/>
      <w:r>
        <w:rPr>
          <w:rFonts w:ascii="仿宋_GB2312" w:eastAsia="仿宋_GB2312" w:hAnsi="仿宋_GB2312" w:cs="仿宋_GB2312" w:hint="eastAsia"/>
          <w:bCs/>
          <w:sz w:val="28"/>
          <w:szCs w:val="28"/>
        </w:rPr>
        <w:t>评审因素的量化指标评审得分最高的申请人为排名第一的</w:t>
      </w:r>
      <w:r>
        <w:rPr>
          <w:rFonts w:ascii="仿宋_GB2312" w:eastAsia="仿宋_GB2312" w:hAnsi="仿宋_GB2312" w:cs="仿宋_GB2312" w:hint="eastAsia"/>
          <w:b/>
          <w:bCs/>
          <w:sz w:val="28"/>
          <w:szCs w:val="28"/>
        </w:rPr>
        <w:t>成交候选人</w:t>
      </w:r>
      <w:r>
        <w:rPr>
          <w:rFonts w:ascii="仿宋_GB2312" w:eastAsia="仿宋_GB2312" w:hAnsi="仿宋_GB2312" w:cs="仿宋_GB2312" w:hint="eastAsia"/>
          <w:bCs/>
          <w:sz w:val="28"/>
          <w:szCs w:val="28"/>
        </w:rPr>
        <w:t>。</w:t>
      </w:r>
      <w:r>
        <w:rPr>
          <w:rFonts w:ascii="仿宋_GB2312" w:eastAsia="仿宋_GB2312" w:hAnsi="仿宋_GB2312" w:cs="仿宋_GB2312" w:hint="eastAsia"/>
          <w:b/>
          <w:bCs/>
          <w:sz w:val="28"/>
          <w:szCs w:val="28"/>
        </w:rPr>
        <w:t>由各业务处室最终决定成交申请人。</w:t>
      </w:r>
      <w:r>
        <w:rPr>
          <w:rFonts w:ascii="仿宋_GB2312" w:eastAsia="仿宋_GB2312" w:hAnsi="仿宋_GB2312" w:cs="仿宋_GB2312" w:hint="eastAsia"/>
          <w:bCs/>
          <w:sz w:val="28"/>
          <w:szCs w:val="28"/>
        </w:rPr>
        <w:t>评分分值计算保留小数点后两位，第三位四舍五入。</w:t>
      </w:r>
    </w:p>
    <w:p w:rsidR="00AA0DE2" w:rsidRDefault="00C714F5">
      <w:pPr>
        <w:spacing w:line="360" w:lineRule="auto"/>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5、成交供应</w:t>
      </w:r>
      <w:proofErr w:type="gramStart"/>
      <w:r>
        <w:rPr>
          <w:rFonts w:ascii="仿宋_GB2312" w:eastAsia="仿宋_GB2312" w:hAnsi="仿宋_GB2312" w:cs="仿宋_GB2312" w:hint="eastAsia"/>
          <w:bCs/>
          <w:sz w:val="28"/>
          <w:szCs w:val="28"/>
        </w:rPr>
        <w:t>商拒绝</w:t>
      </w:r>
      <w:proofErr w:type="gramEnd"/>
      <w:r>
        <w:rPr>
          <w:rFonts w:ascii="仿宋_GB2312" w:eastAsia="仿宋_GB2312" w:hAnsi="仿宋_GB2312" w:cs="仿宋_GB2312" w:hint="eastAsia"/>
          <w:bCs/>
          <w:sz w:val="28"/>
          <w:szCs w:val="28"/>
        </w:rPr>
        <w:t>与采购人签订合同的，采购人可以按照评审报告推荐的成交候选人名单排序，确定下一候选人为成交供应商，也可以重新开展政府采购活动。</w:t>
      </w:r>
    </w:p>
    <w:p w:rsidR="00AA0DE2" w:rsidRDefault="00C714F5">
      <w:pPr>
        <w:widowControl/>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br w:type="page"/>
      </w:r>
    </w:p>
    <w:p w:rsidR="00AA0DE2" w:rsidRDefault="00AA0DE2">
      <w:pPr>
        <w:pStyle w:val="a8"/>
        <w:widowControl/>
        <w:spacing w:before="0" w:beforeAutospacing="0" w:after="0" w:afterAutospacing="0" w:line="540" w:lineRule="exact"/>
        <w:jc w:val="center"/>
        <w:rPr>
          <w:rFonts w:ascii="方正小标宋简体" w:eastAsia="方正小标宋简体" w:hAnsi="方正小标宋简体" w:cs="方正小标宋简体"/>
          <w:sz w:val="44"/>
          <w:szCs w:val="44"/>
        </w:rPr>
      </w:pPr>
    </w:p>
    <w:p w:rsidR="00AA0DE2" w:rsidRDefault="00C714F5">
      <w:pPr>
        <w:pStyle w:val="a8"/>
        <w:widowControl/>
        <w:spacing w:before="0" w:beforeAutospacing="0" w:after="0" w:afterAutospacing="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采购需求</w:t>
      </w:r>
    </w:p>
    <w:p w:rsidR="00AA0DE2" w:rsidRDefault="00AA0DE2">
      <w:pPr>
        <w:spacing w:line="560" w:lineRule="exact"/>
        <w:rPr>
          <w:rFonts w:ascii="黑体" w:eastAsia="黑体" w:hAnsi="黑体" w:cs="黑体"/>
          <w:bCs/>
          <w:sz w:val="32"/>
          <w:szCs w:val="32"/>
        </w:rPr>
      </w:pPr>
    </w:p>
    <w:p w:rsidR="00AA0DE2" w:rsidRDefault="00C714F5">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一、采购标的</w:t>
      </w:r>
    </w:p>
    <w:p w:rsidR="00AA0DE2" w:rsidRDefault="00C714F5">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（一）项目背景</w:t>
      </w:r>
    </w:p>
    <w:p w:rsidR="00AA0DE2" w:rsidRDefault="00C714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贯彻落实《中华人民共和国疫苗管理法》，按照国家及本市预防接种管理文件要求，进一步提高财政资金使用效率、分散政府风险负担，做好全市免疫规划疫苗受种者预防接种异常反应保险补偿及其他相关服务，现面向社会公开遴选2023年北京市预防接种异常反应保险保障项目（以下简称“本项目”）承担单位。</w:t>
      </w:r>
    </w:p>
    <w:p w:rsidR="00AA0DE2" w:rsidRDefault="00C714F5">
      <w:pPr>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（二）项目适用范围</w:t>
      </w:r>
    </w:p>
    <w:p w:rsidR="00AA0DE2" w:rsidRDefault="00C714F5">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本项目中，在北京市行政区域内，受种者接种免疫规划疫苗后发生疑似预防接种异常反应，经调查、诊断，最终结论属于预防接种异常反应或不能排除的，项目承担单位须负责在保险期限内对受种者的保险补偿，并提供疑似预防接种异常反应的相关服务。</w:t>
      </w:r>
    </w:p>
    <w:p w:rsidR="00AA0DE2" w:rsidRDefault="00C714F5">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二、商务要求</w:t>
      </w:r>
    </w:p>
    <w:p w:rsidR="00AA0DE2" w:rsidRDefault="00C714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1.被保险人：是指于2023年1月1日至2023年12月31日，在北京市行政区域内接种免疫规划疫苗发生异常反应，并受保险协议保障、享有保险金请求权的所有受种者。</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2.采购金额支付时间：甲方于签署合同后30日内向乙方指定的账户支付当期采购费用。</w:t>
      </w:r>
    </w:p>
    <w:p w:rsidR="00AA0DE2" w:rsidRDefault="00C714F5">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三、技术要求</w:t>
      </w:r>
    </w:p>
    <w:p w:rsidR="00AA0DE2" w:rsidRDefault="00C714F5">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（一）供应商需满足如下保障项目及标准：</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1.预防接种异常反应的补偿金额按照下列项目和标准计算：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医疗费：预防接种异常反应损害程度等级评定之日以前2年内，受种者在医疗保险或新农合定点非营利性医疗机构因诊治、康复预防接种异常反应相关疾病实际支出的基本医疗费用，在由城镇职工医疗保险基金、城镇居民医疗保险基金、新型农村合作医疗基金以及医疗救助资金等医疗保障制度报销后的个人自付部分(国际、特需除外)，</w:t>
      </w:r>
      <w:proofErr w:type="gramStart"/>
      <w:r>
        <w:rPr>
          <w:rFonts w:ascii="仿宋_GB2312" w:eastAsia="仿宋_GB2312" w:hAnsi="仿宋_GB2312" w:cs="仿宋_GB2312" w:hint="eastAsia"/>
          <w:sz w:val="28"/>
          <w:szCs w:val="28"/>
        </w:rPr>
        <w:t>凭可提供</w:t>
      </w:r>
      <w:proofErr w:type="gramEnd"/>
      <w:r>
        <w:rPr>
          <w:rFonts w:ascii="仿宋_GB2312" w:eastAsia="仿宋_GB2312" w:hAnsi="仿宋_GB2312" w:cs="仿宋_GB2312" w:hint="eastAsia"/>
          <w:sz w:val="28"/>
          <w:szCs w:val="28"/>
        </w:rPr>
        <w:t>的原始收费单据或相关报销审批单支付。</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误工费：指受种者在治疗期间本人或其家属(按1人计算)的陪护误工费。根据受种者的实际误工时间，按照发生预防接种异常反应时上一年度北京市职工年平均工资计算；误工时间根据受种者接受治疗的诊疗资料确定；受种者因病致残持续误工的，误工时间可以计算至预防接种异常反应损害等级评定之日前1日，最长不超过20年。</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3）护理费：需要专人陪护的，按照发生预防接种异常反应时北京市因公致残返城知青护理费标准计算，按照1人计算，最长不超过20年。</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残疾生活补助费：根据受种者损害程度等级(一至十级损害程度等级补偿系数分别为100％-10％)，按照发生预防接种异常反应时北京市上一年度城镇居民人均可支配收入计算，自预防接种异常反应损害程度等级确定之日起，补偿20年。六十周岁以上的，年龄每增加一岁减少一年；七十五周岁以上的，按五年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5）残疾生活辅助具费：受种者需要配置补偿功能器具的，凭医疗机构证明或者预防接种异常反应鉴定书中的医疗护理建议，按国产普通适用型器具配置，需更换的按4次计算。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6）其他与预防接种异常反应调查诊断、鉴定有关的检查检验费用、预防接种异常反应鉴定费、损害程度等级评定费凭据支付。</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2.因预防接种异常反应造成受种者死亡的，补偿金额按照下列项目</w:t>
      </w:r>
      <w:r>
        <w:rPr>
          <w:rFonts w:ascii="仿宋_GB2312" w:eastAsia="仿宋_GB2312" w:hAnsi="仿宋_GB2312" w:cs="仿宋_GB2312" w:hint="eastAsia"/>
          <w:sz w:val="28"/>
          <w:szCs w:val="28"/>
        </w:rPr>
        <w:lastRenderedPageBreak/>
        <w:t>和标准计算：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1）死亡补偿</w:t>
      </w:r>
      <w:proofErr w:type="gramStart"/>
      <w:r>
        <w:rPr>
          <w:rFonts w:ascii="仿宋_GB2312" w:eastAsia="仿宋_GB2312" w:hAnsi="仿宋_GB2312" w:cs="仿宋_GB2312" w:hint="eastAsia"/>
          <w:sz w:val="28"/>
          <w:szCs w:val="28"/>
        </w:rPr>
        <w:t>金按照</w:t>
      </w:r>
      <w:proofErr w:type="gramEnd"/>
      <w:r>
        <w:rPr>
          <w:rFonts w:ascii="仿宋_GB2312" w:eastAsia="仿宋_GB2312" w:hAnsi="仿宋_GB2312" w:cs="仿宋_GB2312" w:hint="eastAsia"/>
          <w:sz w:val="28"/>
          <w:szCs w:val="28"/>
        </w:rPr>
        <w:t>发生预防接种异常反应时北京市上一年度城镇居民人均可支配收入计算，补偿20年。六十周岁以上的，年龄每增加一岁减少一年；七十五周岁以上的，按五年计算。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2）丧葬费按照本市有关规定的丧葬费补助标准计算。</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3）尸检费用按照实际支出凭据支付。</w:t>
      </w:r>
    </w:p>
    <w:p w:rsidR="00AA0DE2" w:rsidRDefault="00C714F5">
      <w:pPr>
        <w:tabs>
          <w:tab w:val="left" w:pos="2160"/>
        </w:tabs>
        <w:autoSpaceDE w:val="0"/>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4）受种者死亡前因诊治、康复预防接种异常反应相关疾病实际支出的医疗费、误工费、护理费、残疾生活辅助具费等参照“1”中的规定计算。</w:t>
      </w:r>
    </w:p>
    <w:p w:rsidR="00AA0DE2" w:rsidRDefault="00C714F5">
      <w:pPr>
        <w:widowControl/>
        <w:spacing w:line="560" w:lineRule="exact"/>
        <w:ind w:firstLineChars="200" w:firstLine="562"/>
        <w:rPr>
          <w:rFonts w:ascii="仿宋_GB2312" w:eastAsia="仿宋_GB2312" w:hAnsi="仿宋_GB2312" w:cs="仿宋_GB2312"/>
          <w:color w:val="000000"/>
          <w:sz w:val="28"/>
          <w:szCs w:val="28"/>
        </w:rPr>
      </w:pPr>
      <w:r>
        <w:rPr>
          <w:rFonts w:ascii="仿宋_GB2312" w:eastAsia="仿宋_GB2312" w:hAnsi="仿宋_GB2312" w:cs="仿宋_GB2312" w:hint="eastAsia"/>
          <w:b/>
          <w:sz w:val="28"/>
          <w:szCs w:val="28"/>
        </w:rPr>
        <w:t>名词释义</w:t>
      </w:r>
    </w:p>
    <w:p w:rsidR="00AA0DE2" w:rsidRDefault="00C714F5">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 xml:space="preserve">1.预防接种异常反应发生 </w:t>
      </w:r>
      <w:r>
        <w:rPr>
          <w:rFonts w:ascii="仿宋_GB2312" w:eastAsia="仿宋_GB2312" w:hAnsi="仿宋_GB2312" w:cs="仿宋_GB2312" w:hint="eastAsia"/>
          <w:color w:val="000000"/>
          <w:sz w:val="28"/>
          <w:szCs w:val="28"/>
        </w:rPr>
        <w:t>是指受种者首次出现预防接种异常反应相关症状的时间点。</w:t>
      </w:r>
    </w:p>
    <w:p w:rsidR="00AA0DE2" w:rsidRDefault="00C714F5">
      <w:pPr>
        <w:snapToGrid w:val="0"/>
        <w:spacing w:line="560" w:lineRule="exact"/>
        <w:ind w:firstLineChars="200" w:firstLine="562"/>
        <w:rPr>
          <w:rFonts w:ascii="仿宋_GB2312" w:eastAsia="仿宋_GB2312" w:hAnsi="仿宋_GB2312" w:cs="仿宋_GB2312"/>
          <w:color w:val="000000"/>
          <w:sz w:val="28"/>
          <w:szCs w:val="28"/>
        </w:rPr>
      </w:pPr>
      <w:r>
        <w:rPr>
          <w:rFonts w:ascii="仿宋_GB2312" w:eastAsia="仿宋_GB2312" w:hAnsi="仿宋_GB2312" w:cs="仿宋_GB2312" w:hint="eastAsia"/>
          <w:b/>
          <w:color w:val="000000"/>
          <w:sz w:val="28"/>
          <w:szCs w:val="28"/>
        </w:rPr>
        <w:t xml:space="preserve">2.需要专人陪护的 </w:t>
      </w:r>
      <w:r>
        <w:rPr>
          <w:rFonts w:ascii="仿宋_GB2312" w:eastAsia="仿宋_GB2312" w:hAnsi="仿宋_GB2312" w:cs="仿宋_GB2312" w:hint="eastAsia"/>
          <w:color w:val="000000"/>
          <w:sz w:val="28"/>
          <w:szCs w:val="28"/>
        </w:rPr>
        <w:t>按相关规定，“需要专人陪护的”是指被保险人预防接种异常反应损害程度等级评定为一至四级之情形。</w:t>
      </w:r>
    </w:p>
    <w:p w:rsidR="00AA0DE2" w:rsidRDefault="00C714F5">
      <w:pPr>
        <w:snapToGrid w:val="0"/>
        <w:spacing w:line="560" w:lineRule="exact"/>
        <w:ind w:firstLineChars="200" w:firstLine="560"/>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t>以上内容未包含的地方，以《北京市预防接种异常反应补偿办法（试行）》（</w:t>
      </w:r>
      <w:r>
        <w:rPr>
          <w:rFonts w:ascii="仿宋_GB2312" w:eastAsia="仿宋_GB2312" w:hAnsi="仿宋_GB2312" w:cs="仿宋_GB2312" w:hint="eastAsia"/>
          <w:sz w:val="28"/>
          <w:szCs w:val="28"/>
        </w:rPr>
        <w:t>京卫</w:t>
      </w:r>
      <w:proofErr w:type="gramStart"/>
      <w:r>
        <w:rPr>
          <w:rFonts w:ascii="仿宋_GB2312" w:eastAsia="仿宋_GB2312" w:hAnsi="仿宋_GB2312" w:cs="仿宋_GB2312" w:hint="eastAsia"/>
          <w:sz w:val="28"/>
          <w:szCs w:val="28"/>
        </w:rPr>
        <w:t>疾控字</w:t>
      </w:r>
      <w:proofErr w:type="gramEnd"/>
      <w:r>
        <w:rPr>
          <w:rFonts w:ascii="仿宋_GB2312" w:eastAsia="仿宋_GB2312" w:hAnsi="仿宋_GB2312" w:cs="仿宋_GB2312" w:hint="eastAsia"/>
          <w:sz w:val="28"/>
          <w:szCs w:val="28"/>
        </w:rPr>
        <w:t>〔2012〕29号文</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的规定为参考。</w:t>
      </w:r>
    </w:p>
    <w:p w:rsidR="00AA0DE2" w:rsidRDefault="00C714F5">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color w:val="000000"/>
          <w:sz w:val="28"/>
          <w:szCs w:val="28"/>
        </w:rPr>
        <w:t>（二）</w:t>
      </w:r>
      <w:r>
        <w:rPr>
          <w:rFonts w:ascii="仿宋_GB2312" w:eastAsia="仿宋_GB2312" w:hAnsi="仿宋_GB2312" w:cs="仿宋_GB2312" w:hint="eastAsia"/>
          <w:b/>
          <w:sz w:val="28"/>
          <w:szCs w:val="28"/>
        </w:rPr>
        <w:t>保险理赔过程基本服务需求</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1.保险人应提供24小时客</w:t>
      </w:r>
      <w:proofErr w:type="gramStart"/>
      <w:r>
        <w:rPr>
          <w:rFonts w:ascii="仿宋_GB2312" w:eastAsia="仿宋_GB2312" w:hAnsi="仿宋_GB2312" w:cs="仿宋_GB2312" w:hint="eastAsia"/>
          <w:sz w:val="28"/>
          <w:szCs w:val="28"/>
        </w:rPr>
        <w:t>服电话</w:t>
      </w:r>
      <w:proofErr w:type="gramEnd"/>
      <w:r>
        <w:rPr>
          <w:rFonts w:ascii="仿宋_GB2312" w:eastAsia="仿宋_GB2312" w:hAnsi="仿宋_GB2312" w:cs="仿宋_GB2312" w:hint="eastAsia"/>
          <w:sz w:val="28"/>
          <w:szCs w:val="28"/>
        </w:rPr>
        <w:t>服务，以及疫苗接种专属服务热线。</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保险人接到报案后，应在规定时限内通知接种门诊并同时委派专人联系被保险人，指导被保险人进行疑似预防接种异常反应报告、及时就医，有专人全程指导进行调查、诊断、鉴定和损害程度分级评定，并实时追踪诊断、鉴定与损害程度评定机构的信息，专人负责与被保险人沟通确认诊断、鉴定与损害程度分级结果。</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3.每例异常反应病例有明确诊断或鉴定结论后，保险人应在收</w:t>
      </w:r>
      <w:proofErr w:type="gramStart"/>
      <w:r>
        <w:rPr>
          <w:rFonts w:ascii="仿宋_GB2312" w:eastAsia="仿宋_GB2312" w:hAnsi="仿宋_GB2312" w:cs="仿宋_GB2312" w:hint="eastAsia"/>
          <w:sz w:val="28"/>
          <w:szCs w:val="28"/>
        </w:rPr>
        <w:t>齐相</w:t>
      </w:r>
      <w:r>
        <w:rPr>
          <w:rFonts w:ascii="仿宋_GB2312" w:eastAsia="仿宋_GB2312" w:hAnsi="仿宋_GB2312" w:cs="仿宋_GB2312" w:hint="eastAsia"/>
          <w:sz w:val="28"/>
          <w:szCs w:val="28"/>
        </w:rPr>
        <w:lastRenderedPageBreak/>
        <w:t>关</w:t>
      </w:r>
      <w:proofErr w:type="gramEnd"/>
      <w:r>
        <w:rPr>
          <w:rFonts w:ascii="仿宋_GB2312" w:eastAsia="仿宋_GB2312" w:hAnsi="仿宋_GB2312" w:cs="仿宋_GB2312" w:hint="eastAsia"/>
          <w:sz w:val="28"/>
          <w:szCs w:val="28"/>
        </w:rPr>
        <w:t>资料后，15个工作日内依据保险条款理算保险金，并应于5个工作日内给付保险金。</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4.被保险人领取保险金时，保险人同时委派专人根据其情况进行就医、就学、就业、伤残保障和救济等相应政策的指导，使其尽可能得到政策帮扶。</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5.根据甲方要求完成信息报送。</w:t>
      </w:r>
    </w:p>
    <w:p w:rsidR="00AA0DE2" w:rsidRDefault="00C714F5">
      <w:pPr>
        <w:shd w:val="solid" w:color="FFFFFF" w:fill="auto"/>
        <w:autoSpaceDN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6.在承保及服务过程中，保险人应按照政府采购合同的要求，严格履行对各项信息的保密义务。</w:t>
      </w:r>
    </w:p>
    <w:p w:rsidR="00AA0DE2" w:rsidRDefault="00C714F5">
      <w:pPr>
        <w:shd w:val="solid" w:color="FFFFFF" w:fill="auto"/>
        <w:autoSpaceDN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（三）服务人员基本要求</w:t>
      </w:r>
    </w:p>
    <w:p w:rsidR="00AA0DE2" w:rsidRDefault="00C714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保险人所派服务人员应及时了解并熟悉国家及北京市预防接种异常反应补偿相关政策及北京市针对伤、残、病等人员的就医、就学、就业、伤残保障和救济等相应政策。</w:t>
      </w:r>
    </w:p>
    <w:p w:rsidR="00AA0DE2" w:rsidRDefault="00C714F5">
      <w:pPr>
        <w:numPr>
          <w:ilvl w:val="0"/>
          <w:numId w:val="2"/>
        </w:numPr>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培训要求</w:t>
      </w:r>
    </w:p>
    <w:p w:rsidR="00AA0DE2" w:rsidRDefault="00C714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保险人应负责协助采购人（北京市卫生健康委员会）对相关人员进行保险经办流程和相关政策法规的培训。</w:t>
      </w:r>
    </w:p>
    <w:p w:rsidR="00AA0DE2" w:rsidRDefault="00C714F5">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（五）优惠服务</w:t>
      </w:r>
    </w:p>
    <w:p w:rsidR="00AA0DE2" w:rsidRDefault="00C714F5">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保险人在满足采购需求的同时，可根据供应商的实际情况，提供切实可行的优惠服务方案。</w:t>
      </w:r>
    </w:p>
    <w:p w:rsidR="00AA0DE2" w:rsidRDefault="00AA0DE2">
      <w:pPr>
        <w:spacing w:line="560" w:lineRule="exact"/>
        <w:ind w:firstLineChars="200" w:firstLine="560"/>
        <w:rPr>
          <w:rFonts w:ascii="仿宋_GB2312" w:eastAsia="仿宋_GB2312" w:hAnsi="仿宋_GB2312" w:cs="仿宋_GB2312"/>
          <w:sz w:val="28"/>
          <w:szCs w:val="28"/>
        </w:rPr>
      </w:pPr>
    </w:p>
    <w:p w:rsidR="00AA0DE2" w:rsidRDefault="00AA0DE2">
      <w:pPr>
        <w:spacing w:line="560" w:lineRule="exact"/>
        <w:ind w:firstLineChars="200" w:firstLine="560"/>
        <w:rPr>
          <w:rFonts w:ascii="仿宋_GB2312" w:eastAsia="仿宋_GB2312" w:hAnsi="仿宋_GB2312" w:cs="仿宋_GB2312"/>
          <w:sz w:val="28"/>
          <w:szCs w:val="28"/>
        </w:rPr>
      </w:pPr>
    </w:p>
    <w:p w:rsidR="00AA0DE2" w:rsidRDefault="00AA0DE2">
      <w:pPr>
        <w:spacing w:line="560" w:lineRule="exact"/>
        <w:rPr>
          <w:rFonts w:ascii="仿宋_GB2312" w:eastAsia="仿宋_GB2312" w:hAnsi="仿宋_GB2312" w:cs="仿宋_GB2312"/>
          <w:sz w:val="28"/>
          <w:szCs w:val="28"/>
        </w:rPr>
      </w:pPr>
    </w:p>
    <w:p w:rsidR="00AA0DE2" w:rsidRDefault="00AA0DE2">
      <w:pPr>
        <w:spacing w:line="560" w:lineRule="exact"/>
        <w:ind w:firstLineChars="200" w:firstLine="560"/>
        <w:rPr>
          <w:rFonts w:ascii="仿宋_GB2312" w:eastAsia="仿宋_GB2312" w:hAnsi="仿宋_GB2312" w:cs="仿宋_GB2312"/>
          <w:sz w:val="28"/>
          <w:szCs w:val="28"/>
        </w:rPr>
      </w:pPr>
    </w:p>
    <w:p w:rsidR="00AA0DE2" w:rsidRDefault="00AA0DE2">
      <w:pPr>
        <w:spacing w:line="560" w:lineRule="exact"/>
        <w:ind w:firstLineChars="200" w:firstLine="560"/>
        <w:rPr>
          <w:rFonts w:ascii="仿宋_GB2312" w:eastAsia="仿宋_GB2312" w:hAnsi="仿宋_GB2312" w:cs="仿宋_GB2312"/>
          <w:sz w:val="28"/>
          <w:szCs w:val="28"/>
        </w:rPr>
      </w:pPr>
    </w:p>
    <w:p w:rsidR="00AA0DE2" w:rsidRDefault="00AA0DE2">
      <w:pPr>
        <w:spacing w:line="560" w:lineRule="exact"/>
        <w:ind w:firstLineChars="200" w:firstLine="560"/>
        <w:rPr>
          <w:rFonts w:ascii="仿宋_GB2312" w:eastAsia="仿宋_GB2312" w:hAnsi="仿宋_GB2312" w:cs="仿宋_GB2312"/>
          <w:sz w:val="28"/>
          <w:szCs w:val="28"/>
        </w:rPr>
      </w:pPr>
    </w:p>
    <w:p w:rsidR="00AA0DE2" w:rsidRDefault="00C714F5">
      <w:pPr>
        <w:spacing w:line="560" w:lineRule="exact"/>
        <w:jc w:val="center"/>
        <w:rPr>
          <w:rFonts w:ascii="仿宋" w:eastAsia="仿宋" w:hAnsi="仿宋" w:cs="仿宋"/>
          <w:b/>
          <w:bCs/>
          <w:sz w:val="28"/>
          <w:szCs w:val="28"/>
        </w:rPr>
      </w:pPr>
      <w:r>
        <w:rPr>
          <w:rFonts w:ascii="方正小标宋简体" w:eastAsia="方正小标宋简体" w:hAnsi="方正小标宋简体" w:cs="方正小标宋简体" w:hint="eastAsia"/>
          <w:sz w:val="44"/>
          <w:szCs w:val="44"/>
        </w:rPr>
        <w:lastRenderedPageBreak/>
        <w:t>评分标准</w:t>
      </w:r>
    </w:p>
    <w:tbl>
      <w:tblPr>
        <w:tblpPr w:leftFromText="180" w:rightFromText="180" w:vertAnchor="page" w:horzAnchor="page" w:tblpXSpec="center" w:tblpY="2315"/>
        <w:tblW w:w="9956" w:type="dxa"/>
        <w:jc w:val="center"/>
        <w:tblLayout w:type="fixed"/>
        <w:tblLook w:val="04A0" w:firstRow="1" w:lastRow="0" w:firstColumn="1" w:lastColumn="0" w:noHBand="0" w:noVBand="1"/>
      </w:tblPr>
      <w:tblGrid>
        <w:gridCol w:w="1245"/>
        <w:gridCol w:w="1862"/>
        <w:gridCol w:w="5525"/>
        <w:gridCol w:w="1324"/>
      </w:tblGrid>
      <w:tr w:rsidR="00AA0DE2" w:rsidTr="00B240C1">
        <w:trPr>
          <w:trHeight w:val="567"/>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内容</w:t>
            </w:r>
          </w:p>
        </w:tc>
        <w:tc>
          <w:tcPr>
            <w:tcW w:w="1862" w:type="dxa"/>
            <w:tcBorders>
              <w:top w:val="single" w:sz="4" w:space="0" w:color="auto"/>
              <w:left w:val="nil"/>
              <w:bottom w:val="nil"/>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评分因素分项</w:t>
            </w:r>
          </w:p>
        </w:tc>
        <w:tc>
          <w:tcPr>
            <w:tcW w:w="5525" w:type="dxa"/>
            <w:tcBorders>
              <w:top w:val="single" w:sz="4" w:space="0" w:color="auto"/>
              <w:left w:val="nil"/>
              <w:bottom w:val="nil"/>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评分标准</w:t>
            </w:r>
          </w:p>
        </w:tc>
        <w:tc>
          <w:tcPr>
            <w:tcW w:w="1324" w:type="dxa"/>
            <w:tcBorders>
              <w:top w:val="single" w:sz="4" w:space="0" w:color="auto"/>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分值</w:t>
            </w:r>
          </w:p>
        </w:tc>
      </w:tr>
      <w:tr w:rsidR="00AA0DE2" w:rsidTr="00B240C1">
        <w:trPr>
          <w:trHeight w:val="675"/>
          <w:jc w:val="center"/>
        </w:trPr>
        <w:tc>
          <w:tcPr>
            <w:tcW w:w="1245" w:type="dxa"/>
            <w:tcBorders>
              <w:top w:val="nil"/>
              <w:left w:val="single" w:sz="4" w:space="0" w:color="auto"/>
              <w:bottom w:val="single" w:sz="4" w:space="0" w:color="auto"/>
              <w:right w:val="nil"/>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价格部分（10分）</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价格（10分）</w:t>
            </w:r>
          </w:p>
        </w:tc>
        <w:tc>
          <w:tcPr>
            <w:tcW w:w="5525" w:type="dxa"/>
            <w:tcBorders>
              <w:top w:val="single" w:sz="4" w:space="0" w:color="auto"/>
              <w:left w:val="nil"/>
              <w:bottom w:val="single" w:sz="4" w:space="0" w:color="auto"/>
              <w:right w:val="single" w:sz="4" w:space="0" w:color="auto"/>
            </w:tcBorders>
            <w:shd w:val="clear" w:color="auto" w:fill="auto"/>
            <w:vAlign w:val="center"/>
          </w:tcPr>
          <w:p w:rsidR="00AA0DE2" w:rsidRDefault="00C714F5">
            <w:pPr>
              <w:widowControl/>
              <w:spacing w:line="240" w:lineRule="exact"/>
              <w:rPr>
                <w:rFonts w:ascii="仿宋" w:eastAsia="仿宋" w:hAnsi="仿宋" w:cs="仿宋"/>
                <w:kern w:val="0"/>
                <w:szCs w:val="21"/>
              </w:rPr>
            </w:pPr>
            <w:r>
              <w:rPr>
                <w:rFonts w:ascii="仿宋" w:eastAsia="仿宋" w:hAnsi="仿宋" w:cs="仿宋" w:hint="eastAsia"/>
                <w:szCs w:val="21"/>
              </w:rPr>
              <w:t>报价得分=（评审基准价/报价）×</w:t>
            </w:r>
            <w:proofErr w:type="gramStart"/>
            <w:r>
              <w:rPr>
                <w:rFonts w:ascii="仿宋" w:eastAsia="仿宋" w:hAnsi="仿宋" w:cs="仿宋" w:hint="eastAsia"/>
                <w:szCs w:val="21"/>
              </w:rPr>
              <w:t>价格权</w:t>
            </w:r>
            <w:proofErr w:type="gramEnd"/>
            <w:r>
              <w:rPr>
                <w:rFonts w:ascii="仿宋" w:eastAsia="仿宋" w:hAnsi="仿宋" w:cs="仿宋" w:hint="eastAsia"/>
                <w:szCs w:val="21"/>
              </w:rPr>
              <w:t>值10%×100</w:t>
            </w:r>
            <w:r>
              <w:rPr>
                <w:rFonts w:ascii="仿宋" w:eastAsia="仿宋" w:hAnsi="仿宋" w:cs="仿宋" w:hint="eastAsia"/>
                <w:szCs w:val="21"/>
              </w:rPr>
              <w:br/>
              <w:t>注：实质性响应遴选文件要求且价格最低的报价为评审基准价。</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10</w:t>
            </w:r>
          </w:p>
        </w:tc>
      </w:tr>
      <w:tr w:rsidR="00AA0DE2" w:rsidTr="00B240C1">
        <w:trPr>
          <w:trHeight w:val="525"/>
          <w:jc w:val="center"/>
        </w:trPr>
        <w:tc>
          <w:tcPr>
            <w:tcW w:w="1245" w:type="dxa"/>
            <w:vMerge w:val="restart"/>
            <w:tcBorders>
              <w:top w:val="nil"/>
              <w:left w:val="single" w:sz="4" w:space="0" w:color="auto"/>
              <w:bottom w:val="single" w:sz="4" w:space="0" w:color="000000"/>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商务</w:t>
            </w:r>
            <w:r>
              <w:rPr>
                <w:rFonts w:ascii="仿宋" w:eastAsia="仿宋" w:hAnsi="仿宋" w:cs="仿宋" w:hint="eastAsia"/>
                <w:kern w:val="0"/>
                <w:szCs w:val="21"/>
              </w:rPr>
              <w:br/>
              <w:t>（25分）</w:t>
            </w: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供应商基本情况</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widowControl/>
              <w:spacing w:line="240" w:lineRule="exact"/>
              <w:jc w:val="left"/>
              <w:rPr>
                <w:rFonts w:ascii="仿宋" w:eastAsia="仿宋" w:hAnsi="仿宋" w:cs="仿宋"/>
                <w:kern w:val="0"/>
                <w:szCs w:val="21"/>
              </w:rPr>
            </w:pPr>
            <w:r>
              <w:rPr>
                <w:rFonts w:ascii="仿宋" w:eastAsia="仿宋" w:hAnsi="仿宋" w:cs="仿宋" w:hint="eastAsia"/>
                <w:szCs w:val="21"/>
              </w:rPr>
              <w:t>供应商资质情况良好（承担专业资质等）得5分。</w:t>
            </w:r>
            <w:r>
              <w:rPr>
                <w:rFonts w:ascii="仿宋" w:eastAsia="仿宋" w:hAnsi="仿宋" w:cs="仿宋" w:hint="eastAsia"/>
                <w:szCs w:val="21"/>
              </w:rPr>
              <w:br/>
              <w:t>注：供应商需提供相关证明材料，否则不予认可。</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5</w:t>
            </w:r>
          </w:p>
        </w:tc>
      </w:tr>
      <w:tr w:rsidR="00AA0DE2" w:rsidTr="00B240C1">
        <w:trPr>
          <w:trHeight w:val="1035"/>
          <w:jc w:val="center"/>
        </w:trPr>
        <w:tc>
          <w:tcPr>
            <w:tcW w:w="1245" w:type="dxa"/>
            <w:vMerge/>
            <w:tcBorders>
              <w:top w:val="nil"/>
              <w:left w:val="single" w:sz="4" w:space="0" w:color="auto"/>
              <w:bottom w:val="single" w:sz="4" w:space="0" w:color="000000"/>
              <w:right w:val="single" w:sz="4" w:space="0" w:color="auto"/>
            </w:tcBorders>
            <w:vAlign w:val="center"/>
          </w:tcPr>
          <w:p w:rsidR="00AA0DE2" w:rsidRDefault="00AA0DE2">
            <w:pPr>
              <w:widowControl/>
              <w:jc w:val="left"/>
              <w:rPr>
                <w:rFonts w:ascii="仿宋" w:eastAsia="仿宋" w:hAnsi="仿宋" w:cs="仿宋"/>
                <w:kern w:val="0"/>
                <w:szCs w:val="21"/>
              </w:rPr>
            </w:pP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供应商的业绩</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pStyle w:val="TableParagraph"/>
              <w:tabs>
                <w:tab w:val="left" w:pos="634"/>
                <w:tab w:val="left" w:pos="6317"/>
              </w:tabs>
              <w:spacing w:before="5" w:line="240" w:lineRule="exact"/>
              <w:ind w:right="96"/>
              <w:rPr>
                <w:rFonts w:ascii="仿宋" w:eastAsia="仿宋" w:hAnsi="仿宋" w:cs="仿宋"/>
                <w:sz w:val="21"/>
                <w:szCs w:val="21"/>
                <w:lang w:eastAsia="zh-CN"/>
              </w:rPr>
            </w:pPr>
            <w:r>
              <w:rPr>
                <w:rFonts w:ascii="仿宋" w:eastAsia="仿宋" w:hAnsi="仿宋" w:cs="仿宋" w:hint="eastAsia"/>
                <w:sz w:val="21"/>
                <w:szCs w:val="21"/>
                <w:lang w:eastAsia="zh-CN"/>
              </w:rPr>
              <w:t xml:space="preserve">供应商近三年（2020年1月起至本采购活动遴选公告发布前（以合同签订日期为准））承接过预防接种异常反应商业保险补偿项目，每提供 1 </w:t>
            </w:r>
            <w:proofErr w:type="gramStart"/>
            <w:r>
              <w:rPr>
                <w:rFonts w:ascii="仿宋" w:eastAsia="仿宋" w:hAnsi="仿宋" w:cs="仿宋" w:hint="eastAsia"/>
                <w:sz w:val="21"/>
                <w:szCs w:val="21"/>
                <w:lang w:eastAsia="zh-CN"/>
              </w:rPr>
              <w:t>个</w:t>
            </w:r>
            <w:proofErr w:type="gramEnd"/>
            <w:r>
              <w:rPr>
                <w:rFonts w:ascii="仿宋" w:eastAsia="仿宋" w:hAnsi="仿宋" w:cs="仿宋" w:hint="eastAsia"/>
                <w:sz w:val="21"/>
                <w:szCs w:val="21"/>
                <w:lang w:eastAsia="zh-CN"/>
              </w:rPr>
              <w:t>合同得 1分；满分为20分（一个投保人仅算一次）。</w:t>
            </w:r>
          </w:p>
          <w:p w:rsidR="00AA0DE2" w:rsidRDefault="00C714F5">
            <w:pPr>
              <w:pStyle w:val="TableParagraph"/>
              <w:tabs>
                <w:tab w:val="left" w:pos="634"/>
                <w:tab w:val="left" w:pos="6317"/>
              </w:tabs>
              <w:spacing w:before="5" w:line="240" w:lineRule="exact"/>
              <w:ind w:right="96"/>
              <w:rPr>
                <w:rFonts w:ascii="仿宋" w:eastAsia="仿宋" w:hAnsi="仿宋" w:cs="仿宋"/>
                <w:color w:val="000000"/>
                <w:kern w:val="0"/>
                <w:szCs w:val="21"/>
                <w:lang w:eastAsia="zh-CN"/>
              </w:rPr>
            </w:pPr>
            <w:r>
              <w:rPr>
                <w:rFonts w:ascii="仿宋" w:eastAsia="仿宋" w:hAnsi="仿宋" w:cs="仿宋" w:hint="eastAsia"/>
                <w:sz w:val="21"/>
                <w:szCs w:val="21"/>
                <w:lang w:eastAsia="zh-CN"/>
              </w:rPr>
              <w:t>注：供应商需提供合同/投保书复印件并加盖公章，合同/投保书中需包含首页、显示上述内容相关页、签字盖章页（签署页），以上内容要做好标记，如无材料证明或证明材料不完整，上述内容视为零分。</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20</w:t>
            </w:r>
          </w:p>
        </w:tc>
      </w:tr>
      <w:tr w:rsidR="00AA0DE2" w:rsidTr="00B240C1">
        <w:trPr>
          <w:trHeight w:val="810"/>
          <w:jc w:val="center"/>
        </w:trPr>
        <w:tc>
          <w:tcPr>
            <w:tcW w:w="1245" w:type="dxa"/>
            <w:vMerge w:val="restart"/>
            <w:tcBorders>
              <w:top w:val="nil"/>
              <w:left w:val="single" w:sz="4" w:space="0" w:color="auto"/>
              <w:bottom w:val="single" w:sz="4" w:space="0" w:color="000000"/>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技术</w:t>
            </w:r>
            <w:r>
              <w:rPr>
                <w:rFonts w:ascii="仿宋" w:eastAsia="仿宋" w:hAnsi="仿宋" w:cs="仿宋" w:hint="eastAsia"/>
                <w:kern w:val="0"/>
                <w:szCs w:val="21"/>
              </w:rPr>
              <w:br/>
              <w:t>（65分）</w:t>
            </w: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项目方案</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pStyle w:val="TableParagraph"/>
              <w:tabs>
                <w:tab w:val="left" w:pos="634"/>
                <w:tab w:val="left" w:pos="6317"/>
              </w:tabs>
              <w:spacing w:before="5" w:line="240" w:lineRule="exact"/>
              <w:ind w:right="96"/>
              <w:rPr>
                <w:rFonts w:ascii="仿宋" w:eastAsia="仿宋" w:hAnsi="仿宋" w:cs="仿宋"/>
                <w:sz w:val="21"/>
                <w:szCs w:val="21"/>
                <w:lang w:eastAsia="zh-CN"/>
              </w:rPr>
            </w:pPr>
            <w:r>
              <w:rPr>
                <w:rFonts w:ascii="仿宋" w:eastAsia="仿宋" w:hAnsi="仿宋" w:cs="仿宋" w:hint="eastAsia"/>
                <w:sz w:val="21"/>
                <w:szCs w:val="21"/>
                <w:lang w:eastAsia="zh-CN"/>
              </w:rPr>
              <w:t>项目方案要求科学、合理、内容详细全面，可行性强。方案中保障项目、补偿流程、宣传培训三方面需符合以下要求。</w:t>
            </w:r>
          </w:p>
          <w:p w:rsidR="00AA0DE2" w:rsidRDefault="00C714F5">
            <w:pPr>
              <w:pStyle w:val="TableParagraph"/>
              <w:tabs>
                <w:tab w:val="left" w:pos="634"/>
                <w:tab w:val="left" w:pos="6317"/>
              </w:tabs>
              <w:spacing w:before="5" w:line="240" w:lineRule="exact"/>
              <w:ind w:right="96"/>
              <w:rPr>
                <w:rFonts w:ascii="仿宋" w:eastAsia="仿宋" w:hAnsi="仿宋" w:cs="仿宋"/>
                <w:sz w:val="21"/>
                <w:szCs w:val="21"/>
                <w:lang w:eastAsia="zh-CN"/>
              </w:rPr>
            </w:pPr>
            <w:r>
              <w:rPr>
                <w:rFonts w:ascii="仿宋" w:eastAsia="仿宋" w:hAnsi="仿宋" w:cs="仿宋" w:hint="eastAsia"/>
                <w:sz w:val="21"/>
                <w:szCs w:val="21"/>
                <w:lang w:eastAsia="zh-CN"/>
              </w:rPr>
              <w:t>1.保障方案完整（满足遴选文件采购需求技术要求部分）且具有可操作性。保障项目及标准(详见采购需求“三、技术要求中保障项目及标准”中的医疗费、误工费、护理费、残疾生活补助费、残疾生活辅助具费、其他费用（检验费、鉴定费、损害程度评定费等）、死亡补偿金、丧葬费、尸检费用、受种者死亡前因诊治、康复异常反应相关疾病实际支出等10项保险责任，满分5分，每项符合条件得0.5分。</w:t>
            </w:r>
          </w:p>
          <w:p w:rsidR="00AA0DE2" w:rsidRDefault="00C714F5">
            <w:pPr>
              <w:pStyle w:val="TableParagraph"/>
              <w:tabs>
                <w:tab w:val="left" w:pos="634"/>
                <w:tab w:val="left" w:pos="6317"/>
              </w:tabs>
              <w:spacing w:before="5" w:line="240" w:lineRule="exact"/>
              <w:ind w:right="96"/>
              <w:rPr>
                <w:rFonts w:ascii="仿宋" w:eastAsia="仿宋" w:hAnsi="仿宋" w:cs="仿宋"/>
                <w:sz w:val="21"/>
                <w:szCs w:val="21"/>
                <w:lang w:eastAsia="zh-CN"/>
              </w:rPr>
            </w:pPr>
            <w:r>
              <w:rPr>
                <w:rFonts w:ascii="仿宋" w:eastAsia="仿宋" w:hAnsi="仿宋" w:cs="仿宋" w:hint="eastAsia"/>
                <w:sz w:val="21"/>
                <w:szCs w:val="21"/>
                <w:lang w:eastAsia="zh-CN"/>
              </w:rPr>
              <w:t>2.补偿流程完整（满足遴选文件采购需求技术需求部分）且具有可操作性。报案-咨询指导-理赔时效-政策帮扶共4个环节，4个环节均符合条件得满分 4 分，</w:t>
            </w:r>
            <w:proofErr w:type="gramStart"/>
            <w:r>
              <w:rPr>
                <w:rFonts w:ascii="仿宋" w:eastAsia="仿宋" w:hAnsi="仿宋" w:cs="仿宋" w:hint="eastAsia"/>
                <w:sz w:val="21"/>
                <w:szCs w:val="21"/>
                <w:lang w:eastAsia="zh-CN"/>
              </w:rPr>
              <w:t>每满足</w:t>
            </w:r>
            <w:proofErr w:type="gramEnd"/>
            <w:r>
              <w:rPr>
                <w:rFonts w:ascii="仿宋" w:eastAsia="仿宋" w:hAnsi="仿宋" w:cs="仿宋" w:hint="eastAsia"/>
                <w:sz w:val="21"/>
                <w:szCs w:val="21"/>
                <w:lang w:eastAsia="zh-CN"/>
              </w:rPr>
              <w:t>1个环节得1分。</w:t>
            </w:r>
          </w:p>
          <w:p w:rsidR="00AA0DE2" w:rsidRDefault="00C714F5">
            <w:pPr>
              <w:widowControl/>
              <w:spacing w:line="240" w:lineRule="exact"/>
              <w:jc w:val="left"/>
              <w:rPr>
                <w:rFonts w:ascii="仿宋" w:eastAsia="仿宋" w:hAnsi="仿宋" w:cs="仿宋"/>
                <w:color w:val="000000"/>
                <w:kern w:val="0"/>
                <w:szCs w:val="21"/>
              </w:rPr>
            </w:pPr>
            <w:r>
              <w:rPr>
                <w:rFonts w:ascii="仿宋" w:eastAsia="仿宋" w:hAnsi="仿宋" w:cs="仿宋" w:hint="eastAsia"/>
                <w:szCs w:val="21"/>
              </w:rPr>
              <w:t>3.培训方案完整（满足遴选文件培训部分）且具有可操作性，需列明可行的培训方式、培训人群和培训课件三个方面。满分6分，每个方面可行且内容准确得2分。</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15</w:t>
            </w:r>
          </w:p>
        </w:tc>
      </w:tr>
      <w:tr w:rsidR="00AA0DE2" w:rsidTr="00B240C1">
        <w:trPr>
          <w:trHeight w:val="2415"/>
          <w:jc w:val="center"/>
        </w:trPr>
        <w:tc>
          <w:tcPr>
            <w:tcW w:w="1245" w:type="dxa"/>
            <w:vMerge/>
            <w:tcBorders>
              <w:top w:val="nil"/>
              <w:left w:val="single" w:sz="4" w:space="0" w:color="auto"/>
              <w:bottom w:val="single" w:sz="4" w:space="0" w:color="000000"/>
              <w:right w:val="single" w:sz="4" w:space="0" w:color="auto"/>
            </w:tcBorders>
            <w:vAlign w:val="center"/>
          </w:tcPr>
          <w:p w:rsidR="00AA0DE2" w:rsidRDefault="00AA0DE2">
            <w:pPr>
              <w:widowControl/>
              <w:jc w:val="left"/>
              <w:rPr>
                <w:rFonts w:ascii="仿宋" w:eastAsia="仿宋" w:hAnsi="仿宋" w:cs="仿宋"/>
                <w:kern w:val="0"/>
                <w:szCs w:val="21"/>
              </w:rPr>
            </w:pP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项目人员配备</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pStyle w:val="TableParagraph"/>
              <w:tabs>
                <w:tab w:val="left" w:pos="634"/>
              </w:tabs>
              <w:spacing w:before="1" w:line="240" w:lineRule="exact"/>
              <w:ind w:right="-17"/>
              <w:rPr>
                <w:rFonts w:ascii="仿宋" w:eastAsia="仿宋" w:hAnsi="仿宋" w:cs="仿宋"/>
                <w:sz w:val="21"/>
                <w:szCs w:val="21"/>
                <w:lang w:eastAsia="zh-CN"/>
              </w:rPr>
            </w:pPr>
            <w:r>
              <w:rPr>
                <w:rFonts w:ascii="仿宋" w:eastAsia="仿宋" w:hAnsi="仿宋" w:cs="仿宋" w:hint="eastAsia"/>
                <w:sz w:val="21"/>
                <w:szCs w:val="21"/>
                <w:lang w:eastAsia="zh-CN"/>
              </w:rPr>
              <w:t>拟投入本项目团队人员评价：</w:t>
            </w:r>
            <w:r>
              <w:rPr>
                <w:rFonts w:ascii="仿宋" w:eastAsia="仿宋" w:hAnsi="仿宋" w:cs="仿宋" w:hint="eastAsia"/>
                <w:sz w:val="21"/>
                <w:szCs w:val="21"/>
                <w:lang w:eastAsia="zh-CN"/>
              </w:rPr>
              <w:br/>
              <w:t>1.具体项目负责人应具备丰富的管理岗位经验、公共卫生专业知识和法律知识，该项满分5分。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b/>
                <w:bCs/>
                <w:szCs w:val="21"/>
              </w:rPr>
              <w:t>具体要求：</w:t>
            </w:r>
            <w:r>
              <w:rPr>
                <w:rFonts w:ascii="仿宋" w:eastAsia="仿宋" w:hAnsi="仿宋" w:cs="仿宋" w:hint="eastAsia"/>
                <w:szCs w:val="21"/>
              </w:rPr>
              <w:t>项目负责人介绍需写明具备公共卫生类管理岗位经历、政府医疗卫生保险项目管理工作经历和持有相关资格证书。其中，</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（1）项目负责人公共卫生管理岗位工作经历满分1.5分，没有不得分，如有工作经历，公共卫生管理岗位工作起始年限3年（含）以上的得1.5分，起始年限2年（含）-3年得1分，起始年限1年（含）-2年得0.5分；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2）项目负责人政府医疗卫生保险项目管理工作经历满分1.5分，没有不得分，如有工作经历，政府医疗卫生保险项目管理工作起始年限3年（含）以上得1.5分，起始年限2年（含）-3年得1分，起始年限1年（含）-2年得0.5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（3）项目负责人持有医疗卫生类证书，得1分，没有不得分；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（4）项目负责人持有法律类资格证书，得1分，没有不得分。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2.专业服务团队由具有医疗健康管理工作经验、健康保险理赔工作经验丰富的专业人员组成，团队教育背景应涵盖预防医学、临床医学、 法律等专业并具有相应执业资格，</w:t>
            </w:r>
            <w:r>
              <w:rPr>
                <w:rFonts w:ascii="仿宋" w:eastAsia="仿宋" w:hAnsi="仿宋" w:cs="仿宋" w:hint="eastAsia"/>
                <w:szCs w:val="21"/>
              </w:rPr>
              <w:lastRenderedPageBreak/>
              <w:t>该项满分10分。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b/>
                <w:bCs/>
                <w:szCs w:val="21"/>
              </w:rPr>
              <w:t>具体要求：</w:t>
            </w:r>
            <w:r>
              <w:rPr>
                <w:rFonts w:ascii="仿宋" w:eastAsia="仿宋" w:hAnsi="仿宋" w:cs="仿宋" w:hint="eastAsia"/>
                <w:szCs w:val="21"/>
              </w:rPr>
              <w:t>提供团队人员简介，并提供5 人的毕业证书和执业资格证书，每人均需同时具备规定的毕业证书和执业资格证书。毕业证书包括预防医学、临床医学、护理学和法律专业，执业资格证书包含公共卫生类、临床医学类和法律的执业资格证书。每提供1份证书得1分（每份毕业证书或执业资格证书均可得1分），没有相应证书不得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3.上述团队应为供应商正式员工，并确保项目运营后上述人员实际负责项目运行，该项满分5分。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b/>
                <w:bCs/>
                <w:szCs w:val="21"/>
              </w:rPr>
              <w:t>具体要求：</w:t>
            </w:r>
            <w:r>
              <w:rPr>
                <w:rFonts w:ascii="仿宋" w:eastAsia="仿宋" w:hAnsi="仿宋" w:cs="仿宋" w:hint="eastAsia"/>
                <w:szCs w:val="21"/>
              </w:rPr>
              <w:t>需提供以上5名成员近1年内满6月的社保缴存记录。每名成员符合要求的社保缴存记录得1分，不符合不得分。</w:t>
            </w:r>
          </w:p>
          <w:p w:rsidR="00AA0DE2" w:rsidRDefault="00C714F5">
            <w:pPr>
              <w:widowControl/>
              <w:spacing w:line="240" w:lineRule="exact"/>
              <w:jc w:val="left"/>
              <w:rPr>
                <w:rFonts w:ascii="仿宋" w:eastAsia="仿宋" w:hAnsi="仿宋" w:cs="仿宋"/>
                <w:szCs w:val="21"/>
              </w:rPr>
            </w:pPr>
            <w:r>
              <w:rPr>
                <w:rFonts w:ascii="仿宋" w:eastAsia="仿宋" w:hAnsi="仿宋" w:cs="仿宋" w:hint="eastAsia"/>
                <w:szCs w:val="21"/>
              </w:rPr>
              <w:t>注：需提供项目团队人员劳动合同复印件、工作简历、学历证书、社保缴存记录复印件等。</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lastRenderedPageBreak/>
              <w:t>20</w:t>
            </w:r>
          </w:p>
        </w:tc>
      </w:tr>
      <w:tr w:rsidR="00AA0DE2" w:rsidTr="00B240C1">
        <w:trPr>
          <w:trHeight w:val="3109"/>
          <w:jc w:val="center"/>
        </w:trPr>
        <w:tc>
          <w:tcPr>
            <w:tcW w:w="1245" w:type="dxa"/>
            <w:vMerge/>
            <w:tcBorders>
              <w:top w:val="nil"/>
              <w:left w:val="single" w:sz="4" w:space="0" w:color="auto"/>
              <w:bottom w:val="single" w:sz="4" w:space="0" w:color="000000"/>
              <w:right w:val="single" w:sz="4" w:space="0" w:color="auto"/>
            </w:tcBorders>
            <w:vAlign w:val="center"/>
          </w:tcPr>
          <w:p w:rsidR="00AA0DE2" w:rsidRDefault="00AA0DE2">
            <w:pPr>
              <w:widowControl/>
              <w:jc w:val="left"/>
              <w:rPr>
                <w:rFonts w:ascii="仿宋" w:eastAsia="仿宋" w:hAnsi="仿宋" w:cs="仿宋"/>
                <w:kern w:val="0"/>
                <w:szCs w:val="21"/>
              </w:rPr>
            </w:pP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质量保证措施</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pStyle w:val="TableParagraph"/>
              <w:tabs>
                <w:tab w:val="left" w:pos="635"/>
              </w:tabs>
              <w:spacing w:line="240" w:lineRule="exact"/>
              <w:ind w:right="-17"/>
              <w:rPr>
                <w:rFonts w:ascii="仿宋" w:eastAsia="仿宋" w:hAnsi="仿宋" w:cs="仿宋"/>
                <w:sz w:val="21"/>
                <w:szCs w:val="21"/>
                <w:lang w:eastAsia="zh-CN"/>
              </w:rPr>
            </w:pPr>
            <w:r>
              <w:rPr>
                <w:rFonts w:ascii="仿宋" w:eastAsia="仿宋" w:hAnsi="仿宋" w:cs="仿宋" w:hint="eastAsia"/>
                <w:sz w:val="21"/>
                <w:szCs w:val="21"/>
                <w:lang w:eastAsia="zh-CN"/>
              </w:rPr>
              <w:t>供应商质量管理体系健全，具体要有运营流程，紧急情况处置能力及承接该项目的同类保险产品条款：</w:t>
            </w:r>
          </w:p>
          <w:p w:rsidR="00AA0DE2" w:rsidRDefault="00C714F5">
            <w:pPr>
              <w:pStyle w:val="TableParagraph"/>
              <w:tabs>
                <w:tab w:val="left" w:pos="635"/>
              </w:tabs>
              <w:spacing w:line="240" w:lineRule="exact"/>
              <w:ind w:right="-17"/>
              <w:rPr>
                <w:rFonts w:ascii="仿宋" w:eastAsia="仿宋" w:hAnsi="仿宋" w:cs="仿宋"/>
                <w:sz w:val="21"/>
                <w:szCs w:val="21"/>
                <w:lang w:eastAsia="zh-CN"/>
              </w:rPr>
            </w:pPr>
            <w:r>
              <w:rPr>
                <w:rFonts w:ascii="仿宋" w:eastAsia="仿宋" w:hAnsi="仿宋" w:cs="仿宋" w:hint="eastAsia"/>
                <w:sz w:val="21"/>
                <w:szCs w:val="21"/>
                <w:lang w:eastAsia="zh-CN"/>
              </w:rPr>
              <w:t>1.运营流程：具有承接该项目单独运营手册，得3分；运营手册完整，具备可操作性，得1分；流程清晰并配有流程图，得1分；流程图简单明了，操作便捷，得1分；团队分工清晰，责任明确，得1分；满分7分，按实际情况得分；</w:t>
            </w:r>
          </w:p>
          <w:p w:rsidR="00AA0DE2" w:rsidRDefault="00C714F5">
            <w:pPr>
              <w:pStyle w:val="TableParagraph"/>
              <w:tabs>
                <w:tab w:val="left" w:pos="635"/>
              </w:tabs>
              <w:spacing w:line="240" w:lineRule="exact"/>
              <w:ind w:right="-17"/>
              <w:rPr>
                <w:rFonts w:ascii="仿宋" w:eastAsia="仿宋" w:hAnsi="仿宋" w:cs="仿宋"/>
                <w:sz w:val="21"/>
                <w:szCs w:val="21"/>
                <w:lang w:eastAsia="zh-CN"/>
              </w:rPr>
            </w:pPr>
            <w:r>
              <w:rPr>
                <w:rFonts w:ascii="仿宋" w:eastAsia="仿宋" w:hAnsi="仿宋" w:cs="仿宋" w:hint="eastAsia"/>
                <w:sz w:val="21"/>
                <w:szCs w:val="21"/>
                <w:lang w:eastAsia="zh-CN"/>
              </w:rPr>
              <w:t>2.紧急情况处置能力：具有承接该项目的申诉（投诉）应对预案，得3分；申诉（投诉）应对预案内容完整，具备可操作性，得1分；申诉（投诉）应对迅速,处理高效（回复时效性＜24小时，得1分；回复时效性≥24小时，不得分）；客户投诉业务管理办法健全，得1分；对于客户投诉业务，有相应的监督考核机制，得1分；满分7分，按实际情况得分。</w:t>
            </w:r>
          </w:p>
          <w:p w:rsidR="00AA0DE2" w:rsidRDefault="00C714F5">
            <w:pPr>
              <w:spacing w:line="240" w:lineRule="exact"/>
            </w:pPr>
            <w:r>
              <w:rPr>
                <w:rFonts w:ascii="仿宋" w:eastAsia="仿宋" w:hAnsi="仿宋" w:cs="仿宋" w:hint="eastAsia"/>
                <w:szCs w:val="21"/>
              </w:rPr>
              <w:t xml:space="preserve">3.同类保险产品条款：供应商具有在保监会备案的同类产品开发经验或储备情况，须提供已报备的同类产品条款，条款内容及表述需符合政策要求（与北京市补偿办法等政策文件比较）。完全符合得6分；部分符合得1-5分；不符合不得分。  </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20</w:t>
            </w:r>
          </w:p>
        </w:tc>
      </w:tr>
      <w:tr w:rsidR="00AA0DE2" w:rsidTr="00B240C1">
        <w:trPr>
          <w:trHeight w:val="810"/>
          <w:jc w:val="center"/>
        </w:trPr>
        <w:tc>
          <w:tcPr>
            <w:tcW w:w="1245" w:type="dxa"/>
            <w:vMerge/>
            <w:tcBorders>
              <w:top w:val="nil"/>
              <w:left w:val="single" w:sz="4" w:space="0" w:color="auto"/>
              <w:bottom w:val="single" w:sz="4" w:space="0" w:color="000000"/>
              <w:right w:val="single" w:sz="4" w:space="0" w:color="auto"/>
            </w:tcBorders>
            <w:vAlign w:val="center"/>
          </w:tcPr>
          <w:p w:rsidR="00AA0DE2" w:rsidRDefault="00AA0DE2">
            <w:pPr>
              <w:widowControl/>
              <w:jc w:val="left"/>
              <w:rPr>
                <w:rFonts w:ascii="仿宋" w:eastAsia="仿宋" w:hAnsi="仿宋" w:cs="仿宋"/>
                <w:kern w:val="0"/>
                <w:szCs w:val="21"/>
              </w:rPr>
            </w:pPr>
          </w:p>
        </w:tc>
        <w:tc>
          <w:tcPr>
            <w:tcW w:w="1862"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服务承诺</w:t>
            </w:r>
          </w:p>
        </w:tc>
        <w:tc>
          <w:tcPr>
            <w:tcW w:w="5525" w:type="dxa"/>
            <w:tcBorders>
              <w:top w:val="nil"/>
              <w:left w:val="nil"/>
              <w:bottom w:val="single" w:sz="4" w:space="0" w:color="auto"/>
              <w:right w:val="single" w:sz="4" w:space="0" w:color="auto"/>
            </w:tcBorders>
            <w:shd w:val="clear" w:color="auto" w:fill="auto"/>
            <w:vAlign w:val="center"/>
          </w:tcPr>
          <w:p w:rsidR="00AA0DE2" w:rsidRDefault="00C714F5">
            <w:pPr>
              <w:spacing w:line="240" w:lineRule="exact"/>
              <w:rPr>
                <w:rFonts w:ascii="仿宋" w:eastAsia="仿宋" w:hAnsi="仿宋" w:cs="仿宋"/>
                <w:szCs w:val="21"/>
              </w:rPr>
            </w:pPr>
            <w:r>
              <w:rPr>
                <w:rFonts w:ascii="仿宋" w:eastAsia="仿宋" w:hAnsi="仿宋" w:cs="仿宋" w:hint="eastAsia"/>
                <w:szCs w:val="21"/>
              </w:rPr>
              <w:t>1.供应商须提供沟通机制、信息报送机制以及客户信息保密机制，内容包括①沟通方案，要求有专人定期沟通；②信息报送方面，要求有专人定期进行信息报送；</w:t>
            </w:r>
            <w:r>
              <w:rPr>
                <w:rFonts w:ascii="仿宋" w:eastAsia="仿宋" w:hAnsi="仿宋" w:cs="仿宋" w:hint="eastAsia"/>
                <w:szCs w:val="21"/>
              </w:rPr>
              <w:fldChar w:fldCharType="begin"/>
            </w:r>
            <w:r>
              <w:rPr>
                <w:rFonts w:ascii="仿宋" w:eastAsia="仿宋" w:hAnsi="仿宋" w:cs="仿宋" w:hint="eastAsia"/>
                <w:szCs w:val="21"/>
              </w:rPr>
              <w:instrText xml:space="preserve"> = 3 \* GB3 \* MERGEFORMAT </w:instrText>
            </w:r>
            <w:r>
              <w:rPr>
                <w:rFonts w:ascii="仿宋" w:eastAsia="仿宋" w:hAnsi="仿宋" w:cs="仿宋" w:hint="eastAsia"/>
                <w:szCs w:val="21"/>
              </w:rPr>
              <w:fldChar w:fldCharType="separate"/>
            </w:r>
            <w:r>
              <w:rPr>
                <w:rFonts w:ascii="仿宋" w:eastAsia="仿宋" w:hAnsi="仿宋" w:cs="仿宋" w:hint="eastAsia"/>
                <w:szCs w:val="21"/>
              </w:rPr>
              <w:t>③</w:t>
            </w:r>
            <w:r>
              <w:rPr>
                <w:rFonts w:ascii="仿宋" w:eastAsia="仿宋" w:hAnsi="仿宋" w:cs="仿宋" w:hint="eastAsia"/>
                <w:szCs w:val="21"/>
              </w:rPr>
              <w:fldChar w:fldCharType="end"/>
            </w:r>
            <w:r>
              <w:rPr>
                <w:rFonts w:ascii="仿宋" w:eastAsia="仿宋" w:hAnsi="仿宋" w:cs="仿宋" w:hint="eastAsia"/>
                <w:szCs w:val="21"/>
              </w:rPr>
              <w:t>客户信息保密方面，要求公司有配套的客户信息保密系统等，三项内容均有得6分；</w:t>
            </w:r>
          </w:p>
          <w:p w:rsidR="00AA0DE2" w:rsidRDefault="00C714F5">
            <w:pPr>
              <w:spacing w:line="240" w:lineRule="exact"/>
              <w:rPr>
                <w:rFonts w:ascii="仿宋" w:eastAsia="仿宋" w:hAnsi="仿宋" w:cs="仿宋"/>
                <w:kern w:val="0"/>
                <w:szCs w:val="21"/>
              </w:rPr>
            </w:pPr>
            <w:r>
              <w:rPr>
                <w:rFonts w:ascii="仿宋" w:eastAsia="仿宋" w:hAnsi="仿宋" w:cs="仿宋" w:hint="eastAsia"/>
                <w:szCs w:val="21"/>
              </w:rPr>
              <w:t>2.供应商提供实质性优惠服务，（如提高保险责任、提高理赔时效、提高服务水平和专业性）等实质性优惠服务，每提供一项增加2分，最高得4分。</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10</w:t>
            </w:r>
          </w:p>
        </w:tc>
      </w:tr>
      <w:tr w:rsidR="00AA0DE2" w:rsidTr="00B240C1">
        <w:trPr>
          <w:trHeight w:val="510"/>
          <w:jc w:val="center"/>
        </w:trPr>
        <w:tc>
          <w:tcPr>
            <w:tcW w:w="863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总分</w:t>
            </w:r>
          </w:p>
        </w:tc>
        <w:tc>
          <w:tcPr>
            <w:tcW w:w="1324" w:type="dxa"/>
            <w:tcBorders>
              <w:top w:val="nil"/>
              <w:left w:val="nil"/>
              <w:bottom w:val="single" w:sz="4" w:space="0" w:color="auto"/>
              <w:right w:val="single" w:sz="4" w:space="0" w:color="auto"/>
            </w:tcBorders>
            <w:shd w:val="clear" w:color="auto" w:fill="auto"/>
            <w:vAlign w:val="center"/>
          </w:tcPr>
          <w:p w:rsidR="00AA0DE2" w:rsidRDefault="00C714F5">
            <w:pPr>
              <w:widowControl/>
              <w:jc w:val="center"/>
              <w:rPr>
                <w:rFonts w:ascii="仿宋" w:eastAsia="仿宋" w:hAnsi="仿宋" w:cs="仿宋"/>
                <w:kern w:val="0"/>
                <w:szCs w:val="21"/>
              </w:rPr>
            </w:pPr>
            <w:r>
              <w:rPr>
                <w:rFonts w:ascii="仿宋" w:eastAsia="仿宋" w:hAnsi="仿宋" w:cs="仿宋" w:hint="eastAsia"/>
                <w:kern w:val="0"/>
                <w:szCs w:val="21"/>
              </w:rPr>
              <w:t>100</w:t>
            </w:r>
          </w:p>
        </w:tc>
      </w:tr>
    </w:tbl>
    <w:p w:rsidR="00AA0DE2" w:rsidRDefault="00AA0DE2">
      <w:pPr>
        <w:spacing w:line="360" w:lineRule="auto"/>
        <w:jc w:val="center"/>
        <w:rPr>
          <w:rFonts w:ascii="仿宋" w:eastAsia="仿宋" w:hAnsi="仿宋" w:cs="宋体"/>
          <w:b/>
          <w:bCs/>
          <w:sz w:val="32"/>
          <w:szCs w:val="28"/>
        </w:rPr>
      </w:pPr>
    </w:p>
    <w:p w:rsidR="00AA0DE2" w:rsidRDefault="00AA0DE2">
      <w:pPr>
        <w:spacing w:line="360" w:lineRule="auto"/>
        <w:jc w:val="center"/>
        <w:rPr>
          <w:rFonts w:ascii="仿宋" w:eastAsia="仿宋" w:hAnsi="仿宋" w:cs="宋体"/>
          <w:b/>
          <w:bCs/>
          <w:sz w:val="32"/>
          <w:szCs w:val="28"/>
        </w:rPr>
      </w:pPr>
    </w:p>
    <w:p w:rsidR="00AA0DE2" w:rsidRDefault="00AA0DE2">
      <w:pPr>
        <w:spacing w:line="360" w:lineRule="auto"/>
        <w:jc w:val="center"/>
        <w:rPr>
          <w:rFonts w:ascii="仿宋" w:eastAsia="仿宋" w:hAnsi="仿宋" w:cs="宋体"/>
          <w:b/>
          <w:bCs/>
          <w:sz w:val="32"/>
          <w:szCs w:val="28"/>
        </w:rPr>
      </w:pPr>
    </w:p>
    <w:p w:rsidR="00AA0DE2" w:rsidRDefault="00AA0DE2">
      <w:pPr>
        <w:spacing w:line="360" w:lineRule="auto"/>
        <w:jc w:val="center"/>
        <w:rPr>
          <w:rFonts w:ascii="仿宋" w:eastAsia="仿宋" w:hAnsi="仿宋" w:cs="宋体"/>
          <w:b/>
          <w:bCs/>
          <w:sz w:val="32"/>
          <w:szCs w:val="28"/>
        </w:rPr>
      </w:pPr>
    </w:p>
    <w:p w:rsidR="00AA0DE2" w:rsidRDefault="00AA0DE2">
      <w:pPr>
        <w:spacing w:line="360" w:lineRule="auto"/>
        <w:rPr>
          <w:rFonts w:ascii="黑体" w:eastAsia="黑体" w:hAnsi="黑体" w:cs="黑体"/>
          <w:sz w:val="32"/>
          <w:szCs w:val="28"/>
        </w:rPr>
      </w:pPr>
    </w:p>
    <w:sectPr w:rsidR="00AA0DE2">
      <w:headerReference w:type="default" r:id="rId9"/>
      <w:footerReference w:type="default" r:id="rId10"/>
      <w:pgSz w:w="11906" w:h="16838"/>
      <w:pgMar w:top="1440" w:right="1559" w:bottom="1440" w:left="162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03" w:rsidRDefault="00510A03">
      <w:r>
        <w:separator/>
      </w:r>
    </w:p>
  </w:endnote>
  <w:endnote w:type="continuationSeparator" w:id="0">
    <w:p w:rsidR="00510A03" w:rsidRDefault="0051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E2" w:rsidRDefault="00C714F5">
    <w:pPr>
      <w:pStyle w:val="a6"/>
      <w:tabs>
        <w:tab w:val="clear" w:pos="4153"/>
        <w:tab w:val="clear" w:pos="8306"/>
        <w:tab w:val="left" w:pos="5580"/>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0DE2" w:rsidRDefault="00C714F5">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3C9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A0DE2" w:rsidRDefault="00C714F5">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93C9B">
                      <w:rPr>
                        <w:noProof/>
                      </w:rPr>
                      <w:t>1</w:t>
                    </w:r>
                    <w:r>
                      <w:rPr>
                        <w:rFonts w:hint="eastAsia"/>
                      </w:rPr>
                      <w:fldChar w:fldCharType="end"/>
                    </w:r>
                  </w:p>
                </w:txbxContent>
              </v:textbox>
              <w10:wrap anchorx="margin"/>
            </v:shape>
          </w:pict>
        </mc:Fallback>
      </mc:AlternateContent>
    </w:r>
    <w:r>
      <w:rPr>
        <w:rFonts w:hint="eastAsia"/>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03" w:rsidRDefault="00510A03">
      <w:r>
        <w:separator/>
      </w:r>
    </w:p>
  </w:footnote>
  <w:footnote w:type="continuationSeparator" w:id="0">
    <w:p w:rsidR="00510A03" w:rsidRDefault="00510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E2" w:rsidRDefault="00AA0DE2">
    <w:pPr>
      <w:widowControl/>
      <w:adjustRightInd w:val="0"/>
      <w:spacing w:line="360"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E66E44"/>
    <w:multiLevelType w:val="singleLevel"/>
    <w:tmpl w:val="C7E66E44"/>
    <w:lvl w:ilvl="0">
      <w:start w:val="4"/>
      <w:numFmt w:val="chineseCounting"/>
      <w:suff w:val="nothing"/>
      <w:lvlText w:val="（%1）"/>
      <w:lvlJc w:val="left"/>
      <w:rPr>
        <w:rFonts w:hint="eastAsia"/>
      </w:rPr>
    </w:lvl>
  </w:abstractNum>
  <w:abstractNum w:abstractNumId="1">
    <w:nsid w:val="00000014"/>
    <w:multiLevelType w:val="multilevel"/>
    <w:tmpl w:val="00000014"/>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ODQzNDM1NDQ3ZGVkZTExMGM0ZGMxNzFkNzNjMTgifQ=="/>
  </w:docVars>
  <w:rsids>
    <w:rsidRoot w:val="0099485C"/>
    <w:rsid w:val="00045C2C"/>
    <w:rsid w:val="000A22BF"/>
    <w:rsid w:val="00193EAA"/>
    <w:rsid w:val="00202E75"/>
    <w:rsid w:val="00265901"/>
    <w:rsid w:val="002813AC"/>
    <w:rsid w:val="00296944"/>
    <w:rsid w:val="002D2684"/>
    <w:rsid w:val="00320B1B"/>
    <w:rsid w:val="003B2C36"/>
    <w:rsid w:val="003D1C53"/>
    <w:rsid w:val="003E70D5"/>
    <w:rsid w:val="004D73E0"/>
    <w:rsid w:val="004F644E"/>
    <w:rsid w:val="00504DC9"/>
    <w:rsid w:val="00510A03"/>
    <w:rsid w:val="00515BAC"/>
    <w:rsid w:val="005A78FE"/>
    <w:rsid w:val="006337E9"/>
    <w:rsid w:val="00652669"/>
    <w:rsid w:val="006F7B9A"/>
    <w:rsid w:val="0072607C"/>
    <w:rsid w:val="007A7660"/>
    <w:rsid w:val="007D6E6A"/>
    <w:rsid w:val="008955C2"/>
    <w:rsid w:val="008A2C42"/>
    <w:rsid w:val="0099485C"/>
    <w:rsid w:val="009A15B3"/>
    <w:rsid w:val="00A021E5"/>
    <w:rsid w:val="00A7326C"/>
    <w:rsid w:val="00A93C9B"/>
    <w:rsid w:val="00AA0DE2"/>
    <w:rsid w:val="00B240C1"/>
    <w:rsid w:val="00B33D64"/>
    <w:rsid w:val="00B6181C"/>
    <w:rsid w:val="00B927D3"/>
    <w:rsid w:val="00BA4C9E"/>
    <w:rsid w:val="00C714F5"/>
    <w:rsid w:val="00CA49E3"/>
    <w:rsid w:val="00D875C2"/>
    <w:rsid w:val="00DB1122"/>
    <w:rsid w:val="00FA3FE5"/>
    <w:rsid w:val="00FF1677"/>
    <w:rsid w:val="016D4D19"/>
    <w:rsid w:val="03506464"/>
    <w:rsid w:val="04116225"/>
    <w:rsid w:val="04CC7013"/>
    <w:rsid w:val="04EC0C75"/>
    <w:rsid w:val="05465BE8"/>
    <w:rsid w:val="054E1D38"/>
    <w:rsid w:val="05851375"/>
    <w:rsid w:val="05FD6800"/>
    <w:rsid w:val="065167C8"/>
    <w:rsid w:val="06F64987"/>
    <w:rsid w:val="07B94ACE"/>
    <w:rsid w:val="083968D3"/>
    <w:rsid w:val="08446F26"/>
    <w:rsid w:val="084F3144"/>
    <w:rsid w:val="08591B36"/>
    <w:rsid w:val="09785AE9"/>
    <w:rsid w:val="09BA421C"/>
    <w:rsid w:val="0AEF62AA"/>
    <w:rsid w:val="0B88518E"/>
    <w:rsid w:val="0CE27150"/>
    <w:rsid w:val="0D053347"/>
    <w:rsid w:val="0D0C350A"/>
    <w:rsid w:val="0DF60D1F"/>
    <w:rsid w:val="0F580015"/>
    <w:rsid w:val="0FA13C51"/>
    <w:rsid w:val="147F0D2E"/>
    <w:rsid w:val="1488115E"/>
    <w:rsid w:val="15510AF7"/>
    <w:rsid w:val="159974FB"/>
    <w:rsid w:val="163758EA"/>
    <w:rsid w:val="164D65A4"/>
    <w:rsid w:val="16A832FE"/>
    <w:rsid w:val="16BA0495"/>
    <w:rsid w:val="16DF7E92"/>
    <w:rsid w:val="17936A27"/>
    <w:rsid w:val="1847330B"/>
    <w:rsid w:val="192455AA"/>
    <w:rsid w:val="1A2E0A44"/>
    <w:rsid w:val="1A3A3F75"/>
    <w:rsid w:val="1A861213"/>
    <w:rsid w:val="1AFA066E"/>
    <w:rsid w:val="1B23671D"/>
    <w:rsid w:val="1BEE30D1"/>
    <w:rsid w:val="1C32518C"/>
    <w:rsid w:val="1D2D5631"/>
    <w:rsid w:val="1DB87BEE"/>
    <w:rsid w:val="1DD563E7"/>
    <w:rsid w:val="1E95260D"/>
    <w:rsid w:val="1F350930"/>
    <w:rsid w:val="1F6B6D06"/>
    <w:rsid w:val="1FC15F51"/>
    <w:rsid w:val="210873DA"/>
    <w:rsid w:val="21A00920"/>
    <w:rsid w:val="2221585D"/>
    <w:rsid w:val="222664A5"/>
    <w:rsid w:val="2276699B"/>
    <w:rsid w:val="233C4938"/>
    <w:rsid w:val="234A4254"/>
    <w:rsid w:val="240113C6"/>
    <w:rsid w:val="241525A5"/>
    <w:rsid w:val="251850D4"/>
    <w:rsid w:val="25367B0B"/>
    <w:rsid w:val="25C66DC9"/>
    <w:rsid w:val="27237DEE"/>
    <w:rsid w:val="287B334A"/>
    <w:rsid w:val="28EB0E28"/>
    <w:rsid w:val="295311B2"/>
    <w:rsid w:val="29AC41C7"/>
    <w:rsid w:val="29CF2B79"/>
    <w:rsid w:val="2A9B15C9"/>
    <w:rsid w:val="2B3950F2"/>
    <w:rsid w:val="2C431B82"/>
    <w:rsid w:val="2C4C364B"/>
    <w:rsid w:val="2CD967C5"/>
    <w:rsid w:val="2CF605EB"/>
    <w:rsid w:val="2D4F5CC9"/>
    <w:rsid w:val="2E57400C"/>
    <w:rsid w:val="2E5A5357"/>
    <w:rsid w:val="2FC24F80"/>
    <w:rsid w:val="30022650"/>
    <w:rsid w:val="30AB2DC0"/>
    <w:rsid w:val="30D87EE0"/>
    <w:rsid w:val="31257B65"/>
    <w:rsid w:val="31C308CD"/>
    <w:rsid w:val="323B3AA8"/>
    <w:rsid w:val="33220602"/>
    <w:rsid w:val="33965188"/>
    <w:rsid w:val="33972A1F"/>
    <w:rsid w:val="34145508"/>
    <w:rsid w:val="34336550"/>
    <w:rsid w:val="345F17CB"/>
    <w:rsid w:val="350C3926"/>
    <w:rsid w:val="384E39AE"/>
    <w:rsid w:val="395C072F"/>
    <w:rsid w:val="3A7D7B4B"/>
    <w:rsid w:val="3C62410D"/>
    <w:rsid w:val="3D2D0985"/>
    <w:rsid w:val="3DA04C39"/>
    <w:rsid w:val="3DBB6E6F"/>
    <w:rsid w:val="3DFD7615"/>
    <w:rsid w:val="3E920017"/>
    <w:rsid w:val="3E96214A"/>
    <w:rsid w:val="3F303A03"/>
    <w:rsid w:val="3F821110"/>
    <w:rsid w:val="3FA2363B"/>
    <w:rsid w:val="40C854ED"/>
    <w:rsid w:val="40F47BBE"/>
    <w:rsid w:val="42542443"/>
    <w:rsid w:val="42676072"/>
    <w:rsid w:val="42932199"/>
    <w:rsid w:val="42A930FC"/>
    <w:rsid w:val="42AC773B"/>
    <w:rsid w:val="44523809"/>
    <w:rsid w:val="447D30ED"/>
    <w:rsid w:val="44FA379B"/>
    <w:rsid w:val="44FE68F6"/>
    <w:rsid w:val="46161323"/>
    <w:rsid w:val="46D3596D"/>
    <w:rsid w:val="480925D3"/>
    <w:rsid w:val="49254E47"/>
    <w:rsid w:val="4A1E6569"/>
    <w:rsid w:val="4A421E6C"/>
    <w:rsid w:val="4B6D5486"/>
    <w:rsid w:val="4B8F5C2C"/>
    <w:rsid w:val="4BEC7868"/>
    <w:rsid w:val="4C7E599E"/>
    <w:rsid w:val="4CD135DA"/>
    <w:rsid w:val="4CEF74A9"/>
    <w:rsid w:val="4D620ABC"/>
    <w:rsid w:val="4DD83D43"/>
    <w:rsid w:val="4EA76741"/>
    <w:rsid w:val="4ED16E96"/>
    <w:rsid w:val="500408D1"/>
    <w:rsid w:val="50152B62"/>
    <w:rsid w:val="507B19C7"/>
    <w:rsid w:val="50E1672D"/>
    <w:rsid w:val="50F0264C"/>
    <w:rsid w:val="5215479B"/>
    <w:rsid w:val="52F052AD"/>
    <w:rsid w:val="548F4741"/>
    <w:rsid w:val="54F2194D"/>
    <w:rsid w:val="54F86BDA"/>
    <w:rsid w:val="55F35C7A"/>
    <w:rsid w:val="573F0D07"/>
    <w:rsid w:val="579556E4"/>
    <w:rsid w:val="598C2457"/>
    <w:rsid w:val="59F76572"/>
    <w:rsid w:val="5D1B5963"/>
    <w:rsid w:val="5D1C3C78"/>
    <w:rsid w:val="5D525F0A"/>
    <w:rsid w:val="5E0954D7"/>
    <w:rsid w:val="5ED47655"/>
    <w:rsid w:val="6019560A"/>
    <w:rsid w:val="60DC11A3"/>
    <w:rsid w:val="61504A17"/>
    <w:rsid w:val="618037B9"/>
    <w:rsid w:val="6181796E"/>
    <w:rsid w:val="6191411D"/>
    <w:rsid w:val="630E7C57"/>
    <w:rsid w:val="63436F5E"/>
    <w:rsid w:val="64ED3E19"/>
    <w:rsid w:val="65077E69"/>
    <w:rsid w:val="65C50B99"/>
    <w:rsid w:val="66197FB8"/>
    <w:rsid w:val="66707851"/>
    <w:rsid w:val="66821350"/>
    <w:rsid w:val="678B7C4E"/>
    <w:rsid w:val="67931555"/>
    <w:rsid w:val="693C5B3A"/>
    <w:rsid w:val="6A8D089C"/>
    <w:rsid w:val="6AF36989"/>
    <w:rsid w:val="6B0947E7"/>
    <w:rsid w:val="6C566408"/>
    <w:rsid w:val="6CA45841"/>
    <w:rsid w:val="6D311D46"/>
    <w:rsid w:val="6D950815"/>
    <w:rsid w:val="6E5E036C"/>
    <w:rsid w:val="6EE01475"/>
    <w:rsid w:val="6F5A7CC3"/>
    <w:rsid w:val="6F743E3A"/>
    <w:rsid w:val="6F9818E4"/>
    <w:rsid w:val="715C23EB"/>
    <w:rsid w:val="72D359CB"/>
    <w:rsid w:val="74414776"/>
    <w:rsid w:val="75586BB9"/>
    <w:rsid w:val="76DA049B"/>
    <w:rsid w:val="77170059"/>
    <w:rsid w:val="781208F3"/>
    <w:rsid w:val="7845575B"/>
    <w:rsid w:val="789326DE"/>
    <w:rsid w:val="78FA6E06"/>
    <w:rsid w:val="7928703D"/>
    <w:rsid w:val="794E2F2B"/>
    <w:rsid w:val="795C4184"/>
    <w:rsid w:val="7B1A3C93"/>
    <w:rsid w:val="7B2F5245"/>
    <w:rsid w:val="7D3C7A01"/>
    <w:rsid w:val="7E5C313A"/>
    <w:rsid w:val="7EC62EB3"/>
    <w:rsid w:val="7ECB797B"/>
    <w:rsid w:val="7ED70187"/>
    <w:rsid w:val="7F03715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qFormat/>
    <w:pPr>
      <w:keepNext/>
      <w:adjustRightInd w:val="0"/>
      <w:jc w:val="center"/>
      <w:textAlignment w:val="baseline"/>
      <w:outlineLvl w:val="0"/>
    </w:pPr>
    <w:rPr>
      <w:rFonts w:ascii="宋体" w:hAnsi="宋体"/>
      <w:b/>
      <w:spacing w:val="4"/>
      <w:kern w:val="0"/>
      <w:sz w:val="48"/>
      <w:szCs w:val="2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800"/>
      </w:tabs>
      <w:spacing w:beforeLines="50" w:before="155" w:line="360" w:lineRule="auto"/>
      <w:jc w:val="center"/>
    </w:pPr>
    <w:rPr>
      <w:b/>
      <w:bCs/>
      <w:sz w:val="28"/>
      <w:szCs w:val="28"/>
    </w:rPr>
  </w:style>
  <w:style w:type="paragraph" w:styleId="a8">
    <w:name w:val="Normal (Web)"/>
    <w:basedOn w:val="a"/>
    <w:uiPriority w:val="99"/>
    <w:unhideWhenUsed/>
    <w:qFormat/>
    <w:pPr>
      <w:spacing w:before="100" w:beforeAutospacing="1" w:after="100" w:afterAutospacing="1"/>
      <w:jc w:val="left"/>
    </w:pPr>
    <w:rPr>
      <w:kern w:val="0"/>
      <w:sz w:val="24"/>
    </w:rPr>
  </w:style>
  <w:style w:type="paragraph" w:styleId="a9">
    <w:name w:val="Title"/>
    <w:basedOn w:val="a"/>
    <w:next w:val="a"/>
    <w:qFormat/>
    <w:pPr>
      <w:spacing w:before="240" w:after="60"/>
      <w:jc w:val="center"/>
      <w:outlineLvl w:val="0"/>
    </w:pPr>
    <w:rPr>
      <w:rFonts w:ascii="Cambria" w:eastAsia="黑体" w:hAnsi="Cambria"/>
      <w:b/>
      <w:bCs/>
      <w:sz w:val="30"/>
      <w:szCs w:val="32"/>
    </w:rPr>
  </w:style>
  <w:style w:type="paragraph" w:styleId="aa">
    <w:name w:val="annotation subject"/>
    <w:basedOn w:val="a3"/>
    <w:next w:val="a3"/>
    <w:link w:val="Char3"/>
    <w:uiPriority w:val="99"/>
    <w:semiHidden/>
    <w:unhideWhenUsed/>
    <w:qFormat/>
    <w:rPr>
      <w:b/>
      <w:bCs/>
    </w:rPr>
  </w:style>
  <w:style w:type="character" w:styleId="ab">
    <w:name w:val="Strong"/>
    <w:uiPriority w:val="22"/>
    <w:qFormat/>
    <w:rPr>
      <w:b/>
    </w:rPr>
  </w:style>
  <w:style w:type="character" w:styleId="ac">
    <w:name w:val="page number"/>
    <w:basedOn w:val="a0"/>
    <w:qFormat/>
  </w:style>
  <w:style w:type="character" w:styleId="ad">
    <w:name w:val="Hyperlink"/>
    <w:uiPriority w:val="99"/>
    <w:qFormat/>
    <w:rPr>
      <w:color w:val="0066CC"/>
      <w:sz w:val="20"/>
      <w:szCs w:val="20"/>
      <w:u w:val="non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4">
    <w:name w:val="列出段落 Char"/>
    <w:link w:val="af"/>
    <w:uiPriority w:val="34"/>
    <w:qFormat/>
    <w:rPr>
      <w:rFonts w:ascii="Calibri" w:hAnsi="Calibri"/>
    </w:rPr>
  </w:style>
  <w:style w:type="paragraph" w:styleId="af">
    <w:name w:val="List Paragraph"/>
    <w:basedOn w:val="a"/>
    <w:link w:val="Char4"/>
    <w:uiPriority w:val="34"/>
    <w:qFormat/>
    <w:pPr>
      <w:ind w:firstLineChars="200" w:firstLine="420"/>
    </w:pPr>
    <w:rPr>
      <w:rFonts w:ascii="Calibri" w:hAnsi="Calibri"/>
    </w:rPr>
  </w:style>
  <w:style w:type="character" w:customStyle="1" w:styleId="Char">
    <w:name w:val="批注文字 Char"/>
    <w:basedOn w:val="a0"/>
    <w:link w:val="a3"/>
    <w:uiPriority w:val="99"/>
    <w:semiHidden/>
    <w:qFormat/>
  </w:style>
  <w:style w:type="character" w:customStyle="1" w:styleId="Char3">
    <w:name w:val="批注主题 Char"/>
    <w:basedOn w:val="Char"/>
    <w:link w:val="aa"/>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TableParagraph">
    <w:name w:val="Table Paragraph"/>
    <w:basedOn w:val="a"/>
    <w:uiPriority w:val="1"/>
    <w:qFormat/>
    <w:rPr>
      <w:sz w:val="22"/>
      <w:lang w:eastAsia="en-US"/>
    </w:rPr>
  </w:style>
  <w:style w:type="paragraph" w:customStyle="1" w:styleId="1">
    <w:name w:val="样式1"/>
    <w:basedOn w:val="a"/>
    <w:qFormat/>
    <w:pPr>
      <w:numPr>
        <w:numId w:val="1"/>
      </w:numPr>
    </w:pPr>
    <w:rPr>
      <w:rFonts w:ascii="宋体" w:hAnsi="宋体"/>
      <w:szCs w:val="21"/>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qFormat/>
    <w:pPr>
      <w:keepNext/>
      <w:adjustRightInd w:val="0"/>
      <w:jc w:val="center"/>
      <w:textAlignment w:val="baseline"/>
      <w:outlineLvl w:val="0"/>
    </w:pPr>
    <w:rPr>
      <w:rFonts w:ascii="宋体" w:hAnsi="宋体"/>
      <w:b/>
      <w:spacing w:val="4"/>
      <w:kern w:val="0"/>
      <w:sz w:val="48"/>
      <w:szCs w:val="2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800"/>
      </w:tabs>
      <w:spacing w:beforeLines="50" w:before="155" w:line="360" w:lineRule="auto"/>
      <w:jc w:val="center"/>
    </w:pPr>
    <w:rPr>
      <w:b/>
      <w:bCs/>
      <w:sz w:val="28"/>
      <w:szCs w:val="28"/>
    </w:rPr>
  </w:style>
  <w:style w:type="paragraph" w:styleId="a8">
    <w:name w:val="Normal (Web)"/>
    <w:basedOn w:val="a"/>
    <w:uiPriority w:val="99"/>
    <w:unhideWhenUsed/>
    <w:qFormat/>
    <w:pPr>
      <w:spacing w:before="100" w:beforeAutospacing="1" w:after="100" w:afterAutospacing="1"/>
      <w:jc w:val="left"/>
    </w:pPr>
    <w:rPr>
      <w:kern w:val="0"/>
      <w:sz w:val="24"/>
    </w:rPr>
  </w:style>
  <w:style w:type="paragraph" w:styleId="a9">
    <w:name w:val="Title"/>
    <w:basedOn w:val="a"/>
    <w:next w:val="a"/>
    <w:qFormat/>
    <w:pPr>
      <w:spacing w:before="240" w:after="60"/>
      <w:jc w:val="center"/>
      <w:outlineLvl w:val="0"/>
    </w:pPr>
    <w:rPr>
      <w:rFonts w:ascii="Cambria" w:eastAsia="黑体" w:hAnsi="Cambria"/>
      <w:b/>
      <w:bCs/>
      <w:sz w:val="30"/>
      <w:szCs w:val="32"/>
    </w:rPr>
  </w:style>
  <w:style w:type="paragraph" w:styleId="aa">
    <w:name w:val="annotation subject"/>
    <w:basedOn w:val="a3"/>
    <w:next w:val="a3"/>
    <w:link w:val="Char3"/>
    <w:uiPriority w:val="99"/>
    <w:semiHidden/>
    <w:unhideWhenUsed/>
    <w:qFormat/>
    <w:rPr>
      <w:b/>
      <w:bCs/>
    </w:rPr>
  </w:style>
  <w:style w:type="character" w:styleId="ab">
    <w:name w:val="Strong"/>
    <w:uiPriority w:val="22"/>
    <w:qFormat/>
    <w:rPr>
      <w:b/>
    </w:rPr>
  </w:style>
  <w:style w:type="character" w:styleId="ac">
    <w:name w:val="page number"/>
    <w:basedOn w:val="a0"/>
    <w:qFormat/>
  </w:style>
  <w:style w:type="character" w:styleId="ad">
    <w:name w:val="Hyperlink"/>
    <w:uiPriority w:val="99"/>
    <w:qFormat/>
    <w:rPr>
      <w:color w:val="0066CC"/>
      <w:sz w:val="20"/>
      <w:szCs w:val="20"/>
      <w:u w:val="non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4">
    <w:name w:val="列出段落 Char"/>
    <w:link w:val="af"/>
    <w:uiPriority w:val="34"/>
    <w:qFormat/>
    <w:rPr>
      <w:rFonts w:ascii="Calibri" w:hAnsi="Calibri"/>
    </w:rPr>
  </w:style>
  <w:style w:type="paragraph" w:styleId="af">
    <w:name w:val="List Paragraph"/>
    <w:basedOn w:val="a"/>
    <w:link w:val="Char4"/>
    <w:uiPriority w:val="34"/>
    <w:qFormat/>
    <w:pPr>
      <w:ind w:firstLineChars="200" w:firstLine="420"/>
    </w:pPr>
    <w:rPr>
      <w:rFonts w:ascii="Calibri" w:hAnsi="Calibri"/>
    </w:rPr>
  </w:style>
  <w:style w:type="character" w:customStyle="1" w:styleId="Char">
    <w:name w:val="批注文字 Char"/>
    <w:basedOn w:val="a0"/>
    <w:link w:val="a3"/>
    <w:uiPriority w:val="99"/>
    <w:semiHidden/>
    <w:qFormat/>
  </w:style>
  <w:style w:type="character" w:customStyle="1" w:styleId="Char3">
    <w:name w:val="批注主题 Char"/>
    <w:basedOn w:val="Char"/>
    <w:link w:val="aa"/>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TableParagraph">
    <w:name w:val="Table Paragraph"/>
    <w:basedOn w:val="a"/>
    <w:uiPriority w:val="1"/>
    <w:qFormat/>
    <w:rPr>
      <w:sz w:val="22"/>
      <w:lang w:eastAsia="en-US"/>
    </w:rPr>
  </w:style>
  <w:style w:type="paragraph" w:customStyle="1" w:styleId="1">
    <w:name w:val="样式1"/>
    <w:basedOn w:val="a"/>
    <w:qFormat/>
    <w:pPr>
      <w:numPr>
        <w:numId w:val="1"/>
      </w:numPr>
    </w:pPr>
    <w:rPr>
      <w:rFonts w:ascii="宋体" w:hAnsi="宋体"/>
      <w:szCs w:val="21"/>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强文晓</dc:creator>
  <cp:lastModifiedBy>admin</cp:lastModifiedBy>
  <cp:revision>20</cp:revision>
  <cp:lastPrinted>2023-05-22T09:07:00Z</cp:lastPrinted>
  <dcterms:created xsi:type="dcterms:W3CDTF">2022-04-18T12:00:00Z</dcterms:created>
  <dcterms:modified xsi:type="dcterms:W3CDTF">2023-05-22T09:11:00Z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22622155F87C430FA51F45D74DB2DE2C_12</vt:lpwstr>
  </property>
</Properties>
</file>