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</w:pPr>
      <w:r>
        <w:t>附件</w:t>
      </w:r>
    </w:p>
    <w:p>
      <w:pPr>
        <w:pStyle w:val="11"/>
        <w:keepNext w:val="0"/>
        <w:keepLines w:val="0"/>
        <w:widowControl/>
        <w:suppressLineNumbers w:val="0"/>
        <w:jc w:val="center"/>
      </w:pPr>
      <w:bookmarkStart w:id="0" w:name="_GoBack"/>
      <w:r>
        <w:t>第一届“北京市健康企业”名单</w:t>
      </w:r>
    </w:p>
    <w:bookmarkEnd w:id="0"/>
    <w:p>
      <w:pPr>
        <w:pStyle w:val="11"/>
        <w:keepNext w:val="0"/>
        <w:keepLines w:val="0"/>
        <w:widowControl/>
        <w:suppressLineNumbers w:val="0"/>
        <w:jc w:val="center"/>
      </w:pPr>
      <w:r>
        <w:t>（共30家）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中芯北方集成电路制造（北京）有限公司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北京京东方显示技术有限公司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北京金隅水泥节能科技有限公司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北京金隅琉水环保科技有限公司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中芯国际集成电路制造（北京）有限公司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圣戈班伟伯（北京）建材有限公司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中国运载火箭技术研究院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北京京东方光电科技有限公司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北京公共交通控股（集团）有限公司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华润紫竹药业有限公司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康宁显示科技(中国)有限公司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重庆长安汽车股份有限公司北京长安汽车公司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中国石油化工股份有限公司北京燕山分公司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北京京港地铁有限公司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北京北排水环境发展有限公司清河再生水厂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中粮可口可乐饮料（北京）有限公司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博世力士乐(北京)液压有限公司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中国华电科工集团有限公司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北京福元医药股份有限公司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北京现代汽车有限公司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中国石油化工股份有限公司石油化工科学研究院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颇尔（中国）有限公司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国能国华 (北京)燃气热电有限公司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中国石油国际勘探开发有限公司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北京铁路信号有限公司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北京顺政环保科技有限公司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北京雅昌艺术印刷有限公司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北京市富乐科技开发有限公司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中铁十四局集团房桥有限公司</w:t>
      </w:r>
    </w:p>
    <w:p>
      <w:pPr>
        <w:pStyle w:val="11"/>
        <w:keepNext w:val="0"/>
        <w:keepLines w:val="0"/>
        <w:widowControl/>
        <w:suppressLineNumbers w:val="0"/>
        <w:jc w:val="left"/>
      </w:pPr>
      <w:r>
        <w:t>矿冶科技集团有限公司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8E7C24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2022-04-24T08:08:23Z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  <property fmtid="{D5CDD505-2E9C-101B-9397-08002B2CF9AE}" pid="4" name="commondata">
    <vt:lpwstr>eyJoZGlkIjoiZTRiZGM1Y2FiNjc3MTkyZTZmYmM1ZDdiOWYxM2JlODUifQ==</vt:lpwstr>
  </property>
</Properties>
</file>