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kern w:val="0"/>
          <w:sz w:val="32"/>
          <w:szCs w:val="32"/>
        </w:rPr>
      </w:pPr>
      <w:bookmarkStart w:id="0" w:name="OLE_LINK1"/>
      <w:r>
        <w:rPr>
          <w:rFonts w:hint="eastAsia" w:ascii="黑体" w:hAnsi="黑体" w:eastAsia="黑体" w:cs="黑体"/>
          <w:kern w:val="0"/>
          <w:sz w:val="32"/>
          <w:szCs w:val="32"/>
        </w:rPr>
        <w:t>附件1</w:t>
      </w:r>
    </w:p>
    <w:p>
      <w:pPr>
        <w:jc w:val="center"/>
        <w:rPr>
          <w:rFonts w:hint="eastAsia" w:ascii="黑体" w:hAnsi="黑体" w:eastAsia="黑体" w:cs="黑体"/>
          <w:kern w:val="0"/>
          <w:sz w:val="32"/>
          <w:szCs w:val="32"/>
        </w:rPr>
      </w:pPr>
      <w:r>
        <w:rPr>
          <w:rFonts w:hint="eastAsia" w:ascii="方正小标宋简体" w:hAnsi="方正小标宋简体" w:eastAsia="方正小标宋简体" w:cs="方正小标宋简体"/>
          <w:kern w:val="0"/>
          <w:sz w:val="44"/>
          <w:szCs w:val="44"/>
        </w:rPr>
        <w:t>201</w:t>
      </w:r>
      <w:r>
        <w:rPr>
          <w:rFonts w:ascii="方正小标宋简体" w:hAnsi="方正小标宋简体" w:eastAsia="方正小标宋简体" w:cs="方正小标宋简体"/>
          <w:kern w:val="0"/>
          <w:sz w:val="44"/>
          <w:szCs w:val="44"/>
        </w:rPr>
        <w:t>8</w:t>
      </w:r>
      <w:r>
        <w:rPr>
          <w:rFonts w:hint="eastAsia" w:ascii="方正小标宋简体" w:hAnsi="方正小标宋简体" w:eastAsia="方正小标宋简体" w:cs="方正小标宋简体"/>
          <w:kern w:val="0"/>
          <w:sz w:val="44"/>
          <w:szCs w:val="44"/>
        </w:rPr>
        <w:t>年首都卫生发展科研专项财务验收项目目录</w:t>
      </w:r>
    </w:p>
    <w:tbl>
      <w:tblPr>
        <w:tblStyle w:val="3"/>
        <w:tblW w:w="0" w:type="auto"/>
        <w:jc w:val="center"/>
        <w:tblLayout w:type="fixed"/>
        <w:tblCellMar>
          <w:top w:w="15" w:type="dxa"/>
          <w:left w:w="15" w:type="dxa"/>
          <w:bottom w:w="15" w:type="dxa"/>
          <w:right w:w="15" w:type="dxa"/>
        </w:tblCellMar>
      </w:tblPr>
      <w:tblGrid>
        <w:gridCol w:w="555"/>
        <w:gridCol w:w="2054"/>
        <w:gridCol w:w="4745"/>
        <w:gridCol w:w="846"/>
        <w:gridCol w:w="3180"/>
        <w:gridCol w:w="1010"/>
        <w:gridCol w:w="1127"/>
        <w:gridCol w:w="1168"/>
      </w:tblGrid>
      <w:tr>
        <w:tblPrEx>
          <w:tblCellMar>
            <w:top w:w="15" w:type="dxa"/>
            <w:left w:w="15" w:type="dxa"/>
            <w:bottom w:w="15" w:type="dxa"/>
            <w:right w:w="15" w:type="dxa"/>
          </w:tblCellMar>
        </w:tblPrEx>
        <w:trPr>
          <w:trHeight w:val="482" w:hRule="atLeast"/>
          <w:tblHeader/>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rPr>
              <w:t>序</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rPr>
              <w:t xml:space="preserve">项目编号 </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rPr>
              <w:t>项目名称</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项目</w:t>
            </w:r>
          </w:p>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rPr>
              <w:t>负责人</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rPr>
              <w:t>单位</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rPr>
              <w:t>类型</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rPr>
              <w:t xml:space="preserve">资助经费 </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rPr>
              <w:t>备注</w:t>
            </w: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首发2018-1-1012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新型流感病毒早期发现、基因演化及风险评估研究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王全意</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北京市预防医学研究中心</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重点攻关</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首发2018-2-1013</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北京市人群流感疫苗接种的效果评价研究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杨鹏</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北京市预防医学研究中心</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bookmarkEnd w:id="0"/>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首发2018-2-1022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直肠癌新辅助放化疗后免疫微环境研究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李忠武</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北京市肿瘤防治研究所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首发2018-2-1024</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18F-FDG PET/CT相关霍奇金淋巴瘤预后评估体系的初步探索</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王雪鹃</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北京市肿瘤防治研究所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首发2018-2-1025</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AR-V7检测对去势抵抗性前列腺癌阿比特龙治疗敏感性的预测研究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杜鹏</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北京市肿瘤防治研究所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首发2018-2Z-1026</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基于人工智能技术构建胃癌新辅助化疗后的自动诊断与预后预测系统</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孙宇</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北京市肿瘤防治研究所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首发2018-4-1027</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基于患者实际体位修正滑环加速器兆伏锥束CT成像剂量</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张艺宝</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北京市肿瘤防治研究所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首发2018-1-1041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北京市结核分枝杆菌耐药性和基因型动态变化的研究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李传友</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北京市结核病胸部肿瘤研究所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重点攻关</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99</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首发2018-2Z-1042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快速检测结核分枝杆菌多药耐药试剂盒的研发</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XUELIANG JAMES XIA</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北京市结核病胸部肿瘤研究所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38</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终止</w:t>
            </w: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首发2018-4-1043</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非小细胞肺癌血浆ctDNA中原发EGFR T790M耐药突变丰度与EGFR TKI疗效相关性研究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马丽</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北京市结核病胸部肿瘤研究所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17.7</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首发2018-2-1053</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胃食管反流病患者质子泵抑制剂治疗8周前后食管下段黏膜菌群结构变化与治疗效果的自身对照研究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张杰</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北京市心肺血管疾病研究所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首发2018-3-1063</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医联体框架下医院-社区-家庭三元联动慢病护理模式的研究：以脑卒中患者为例</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高凤莉</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北京市呼吸疾病研究所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基层普及</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首发2018-2-1072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应用基于体素的损伤-症状定位技术预测低级别胶质瘤术后癫痫风险研究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王磊</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北京市神经外科研究所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首发2018-2-1073</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儿童髓母细胞瘤的分子分型新方法及临床应用研究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李春德</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北京市神经外科研究所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首发2018-2-1074</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宝石能谱CT预测急性脑出血血肿增长的关键技术研究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孙胜军</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北京市神经外科研究所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首发2018-2-1075</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术中直接电刺激联合神经导航技术对脑干运动功能保护作用的研究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乔慧</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北京市神经外科研究所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39.3</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首发2018-4-1077</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支架血流导向能力在颅内动脉瘤栓塞术后转归过程中的影响分析</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刘健</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北京市神经外科研究所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19.613</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首发2018-2Z-1082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个性化定制3D打印眼镜镜片的应用</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宋红欣</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北京市眼科研究所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首发2018-4-1083</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跨筛板压力差对原发性开角型青光眼的诊断效能评价研究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陈伟伟</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北京市眼科研究所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19.7</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首发2018-1-1091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糖尿病患者的听功能监测与保护研究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刘博</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北京市耳鼻咽喉科研究所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重点攻关</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98.7768</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首发2018-2-1101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北方地区成人上尿路结石腔内微创手术综合治疗体系研究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田野</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北京热带医学研究所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首发2018-1-1112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继发性甲旁亢超声引导微创消融治疗与手术治疗对照研究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钱林学</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北京市临床医学研究所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重点攻关</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99.5</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首发2018-2-1113</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血小板基因测序法检测非小细胞肺癌EGFR-TKI耐药的探索性研究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俞静</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北京市临床医学研究所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39.85</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首发2018-3-1115</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结直肠癌筛查新技术的临床应用</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翟惠虹</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北京市临床医学研究所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基层普及</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11.5</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首发2018-4-1116</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三种气管导管经喉罩气管插管阻力和声门下气道损伤的随机对照研究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苏凯</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北京市临床医学研究所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首发2018-2-1131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人呼吸道合胞病毒引起重症感染的预警机制建立</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赵林清</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首都儿科研究所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38.854</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首发2018-2-1141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基于目标区域测序的新生儿单基因遗传病筛查方案研究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郝婵娟</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北京市儿科研究所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首发2018-1-1151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乙肝患者抗病毒治疗多重耐药位点综合耐药分析和精准抗病毒用药研究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陈德喜</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北京市肝病研究所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重点攻关</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首发2018-2-2011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基于血管结构和血流动力学的血管超声综合评估体系量化预测颈动脉内膜切除手术风险的研究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华扬</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首都医科大学宣武医院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39.6</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30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首发2018-2Z-2014</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撑开旋臂技术治疗难复性颅底凹陷寰枢椎脱位的临床研究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陈赞</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首都医科大学宣武医院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35.2</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31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首发2018-2-2022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晚期胃癌患者Apatinib抗血管生成治疗中分子标记物筛选的临床研究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曹邦伟</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首都医科大学附属北京友谊医院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32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首发2018-2-2024</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运动肺气体交换评估慢阻肺预后的研究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王浩彦</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首都医科大学附属北京友谊医院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34.335</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33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首发2018-2-2033</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单次亚麻醉剂量氯胺酮静脉注射附加盐酸文拉法辛治疗难治性抑郁的临床研究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胡永东</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首都医科大学附属北京朝阳医院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终止</w:t>
            </w: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34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首发2018-4-2034</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应用风险预测量表早期评估Graves甲亢患者的复发风险</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刘佳</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首都医科大学附属北京朝阳医院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19.3</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35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首发2018-2-2041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基于4D-Flow MRI血流动力学评估颅内动脉瘤破裂风险的应用研究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刘爱华</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首都医科大学附属北京天坛医院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37</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36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首发2018-2-2042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髓母细胞瘤相关Gorlin-Goltz综合征现患率调查及临床预后分析</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姜涛</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首都医科大学附属北京天坛医院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37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首发2018-2-2043</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脑干海绵状血管畸形手术预后相关风险因素研究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吴震</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首都医科大学附属北京天坛医院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38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首发2018-2-2044</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老年非心脏手术患者术后认识功能障碍与隐匿性脑卒中</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彭宇明</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首都医科大学附属北京天坛医院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37.608</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39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首发2018-4-2045</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基于磁量图成像技术的心源性卒中新型影像标志物研究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陈洁</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首都医科大学附属北京天坛医院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40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首发2018-1-2051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眼外肌内A型肉毒毒素注射治疗儿童共同性斜视的临床研究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付晶</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首都医科大学附属北京同仁医院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重点攻关</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87.6</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41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首发2018-1-2052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分化型甲状腺癌的风险分层及个体化治疗策略</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黄志刚</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首都医科大学附属北京同仁医院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重点攻关</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42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首发2018-2-2053</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小眼球和无眼球患儿面部发育三维结构形态测量方法的建立及评估</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李冬梅</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首都医科大学附属北京同仁医院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38.61</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43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首发2018-2-2054</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甲状腺微小乳头状癌侵袭转移风险的分层评估</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房居高</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首都医科大学附属北京同仁医院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44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首发2018-3-2055</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畸变产物耳声发射在首都社区人群中糖尿病相关听力下降筛查的应用研究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郝瑾</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首都医科大学附属北京同仁医院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基层普及</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终止</w:t>
            </w: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45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首发2018-2-2064</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冠心病患者支架置入术后接受小剂量替格瑞洛的安全性与有效性的随机对照研究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吴小凡</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首都医科大学附属北京安贞医院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34.964</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46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首发2018-2-2066</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急性A型主动脉夹层患者术后早期死亡风险预测模型的建立</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贡鸣</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首都医科大学附属北京安贞医院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47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首发2018-4-2068</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单纯升主动脉扩张患者发生夹层风险预测模型的建立和评价</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姜文剑</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首都医科大学附属北京安贞医院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48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首发2018-4-2075</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痛风性关节炎患者外周血单个核细胞转录组研究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董鹏</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北京积水潭医院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49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首发2018-1-2091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阻塞性睡眠呼吸暂停综合征对儿童认知功能的影响研究及临床干预疗效评价的初探</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倪鑫</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首都医科大学附属北京儿童医院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重点攻关</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50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首发2018-2-2092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中药分期论治儿童狼疮肾炎的前瞻性非随机临床对照研究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胡艳</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首都医科大学附属北京儿童医院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51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首发2018-2-2094</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小剂量免疫耐受诱导策略清除重型血友病A患儿高滴度抑制物疗效评价</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吴润晖</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首都医科大学附属北京儿童医院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52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首发2018-2-2095</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神经母细胞瘤微小残留病分子病理学精准诊断的临床价值评估</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马晓莉</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首都医科大学附属北京儿童医院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38.11</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53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首发2018-2-2101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药物基因组学及血清类固醇检测对先天性肾上腺皮质增生症个体化治疗的临床研究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陈晓波</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首都儿科研究所附属儿童医院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54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首发2018-4-2102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儿童肺炎支原体感染实验室诊断方法优化方案选择的研究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葛梦蕾</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首都儿科研究所附属儿童医院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55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首发2018-2-2112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妊娠期糖尿病再发风险的早期预测研究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郑薇</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首都医科大学附属北京妇产医院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56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首发2018-1-2121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基于移动技术的抑郁障碍疾病管理平台的研发</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王刚</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首都医科大学附属北京安定医院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重点攻关</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57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首发2018-4-2124</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基于群体药代动力学模型的双相情感障碍患者丙戊酸个体化给药研究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臧彦楠</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首都医科大学附属北京安定医院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58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首发2018-3-2132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双相障碍自我管理评估量表的开发及其效果评价</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陈景旭</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北京回龙观医院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基层普及</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59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首发2018-1-2151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基于分子分型优化外周T细胞淋巴瘤的临床治疗路径</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朱军</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北京肿瘤医院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重点攻关</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60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首发2018-2-2154</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超声造影的计算机辅助彩色成像对肝癌血流动力学分型与射频消融预后评价</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杨薇</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北京肿瘤医院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38.65</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61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首发2018-2Z-2161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基于个体化塑形超声介入技术的体表结核靶向治疗</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刘志东</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首都医科大学附属北京胸科医院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62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首发2018-4-2162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肺腺癌脑转移的MR影像特征与EGFR基因突变的相关性研究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王东坡</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首都医科大学附属北京胸科医院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13.2816</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63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首发2018-2-2173</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经方鳖甲煎丸治疗乙肝肝硬化的临床研究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程丹颖</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首都医科大学附属北京地坛医院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64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首发2018-2-2182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预测原发性肝癌介入治疗后复发的影像组学研究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袁春旺</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首都医科大学附属北京佑安医院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65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首发2018-2-2183</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“基线及24周HBsAg定量为指导”的HBeAg阴性CHB优化治疗方案研究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曹振环</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首都医科大学附属北京佑安医院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66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首发2018-2-2242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北京地区体检人群空腹血糖水平及相关危险因素对糖尿病发生的预测价值</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韩玉梅</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北京市体检中心</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67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首发2018-3-3016</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岗位胜任力视角下公共卫生医师规范化培训体系建设研究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刘秀颖</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北京市疾病预防控制中心</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基层普及</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9.4</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68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首发2018-2-3021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北京市肺结核时空特征分析及其影响因素分析</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孙闪华</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北京结核病控制研究所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12.35</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69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首发2018-1-4012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探索符合分级诊疗制度要求的综合医院全科门诊运行新模式</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曾学军</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中国医学科学院北京协和医院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重点攻关</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70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首发2018-2-4014</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胰腺囊性病变鉴别诊断新技术的应用研究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赵玉沛</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中国医学科学院北京协和医院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71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首发2018-2-4015</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比较化疗联合或不联合多西环素治疗晚期原发性轻链型淀粉样变患者的前瞻性、多中心、随机对照研究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李剑</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中国医学科学院北京协和医院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72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首发2018-2Z-4016</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智能可视化多点眼底光凝仪</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陈有信</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中国医学科学院北京协和医院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39.9</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73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首发2018-4-4018</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Lapatinib治疗难治性库欣病有效性研究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刘小海</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中国医学科学院北京协和医院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74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首发2018-2-4023</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基于DNA损伤修复变异选择TNBC辅助治疗的优势人群</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袁芃</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中国医学科学院肿瘤医院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75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首发2018-2-4033</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单基因遗传性年轻高血压的精准诊疗与预后评估</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宋雷</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中国医学科学院阜外医院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76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首发2018-2Z-4037</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适用于下肢膝关节以下动脉的雷帕霉素涂层-镁合金生物可降解支架的研发和安全性及有效性研究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沈晨阳</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中国医学科学院阜外医院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32</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77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首发2018-2-4065</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外用中药“止痒平肤液”治疗中重度靶向药相关皮疹的前瞻、随机、对照临床研究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崔慧娟</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卫生部中日友好医院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78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首发2018-2-4074</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IgG4阳性桥本甲状腺炎临床筛查诊断体系的建立和验证</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高莹</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北京大学第一医院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79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首发2018-4-4077</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妊娠特异性甲状腺自身抗体参考值对妊娠结局的预测评价及妊娠期铁储备对甲状腺抗体的影响</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张杨</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北京大学第一医院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18.82</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80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首发2018-4-4078</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清热化湿四联疗法根除幽门螺杆菌的探索性随机对照研究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叶晖</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北京大学第一医院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19.8</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81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首发2018-2Z-4096</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具有骨诱导作用的可注射辛伐他汀水凝胶的临床应用</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宋纯理</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北京大学第三医院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终止</w:t>
            </w: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82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首发2018-2-4101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一体化可摘局部义齿的数字化设计与制作及其应用研究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叶红强</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北京大学口腔医院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83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首发2018-2Z-4103</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基于3D打印的全口义齿功能易适修复系统及临床解决方案优化</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孙玉春</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北京大学口腔医院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84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首发2018-2-4112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探索双相障碍临床随访数据库及智能移动医疗管理系统</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马燕桃</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北京大学第六医院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39.708</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85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首发2018-2-4115</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艾灸膻中关元穴治疗抑郁症疲乏症状疗效的随机对照试验</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许珂</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北京大学第六医院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39.1</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86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首发2018-4-4116</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精神分裂症阴性症状与社会功能的相关性研究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蒲城城</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北京大学第六医院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87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首发2018-1-4151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子宫内膜异位症中医慢病管理研究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赵瑞华</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中国中医科学院广安门医院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重点攻关</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97.12</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88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首发2018-2-4152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针刺从心论治慢性自发性荨麻疹的临床观察及其中枢神经机制研究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崔炳南</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中国中医科学院广安门医院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89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首发2018-4-4154</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基于循证思路朴炳奎诊治肿瘤学术思想与经验传承研究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庞博</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中国中医科学院广安门医院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90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首发2018-1-4171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冠心病中医证治规律及临床疗效评价的真实世界研究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徐浩</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中国中医科学院西苑医院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重点攻关</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91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首发2018-2-4172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针身绝缘针灸针制备与临床前安全性、有效性研究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张路</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中国中医科学院西苑医院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92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首发2018-2Z-4175</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芪术颗粒治疗糖尿病肾病的中药新药研究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任钧国</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中国中医科学院西苑医院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93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首发2018-4-4231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痰热清雾化吸入性溶液治疗慢阻肺的药效学及关键技术研究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侯红平</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中国中医科学院中药研究所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19.8</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94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首发2018-2-5031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中药配方颗粒质量整合评价研究---以大黄、附子为例</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张萍</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解放军302医院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95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首发2018-2-5033</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慢性丙肝病毒感染的透析患者使用口服直接抗病毒药物治疗的有效性及安全性研究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赵军</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解放军302医院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37</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终止</w:t>
            </w: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96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首发2018-2-5035</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干扰素α1b治疗儿童慢性乙型肝炎的临床合理用药研究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毕京峰</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解放军302医院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终止</w:t>
            </w: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97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首发2018-4-5111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高压氧对老年脑小血管病患者轻度认知障碍的疗效和安全性研究－一项前瞻性、单盲、随机对照研究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郭大志</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海军总医院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98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首发2018-4-5123</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胰腺癌放疗早期血流动力学改变的CT灌注评价</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马晓璇</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中国人民解放军空军总医院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99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首发2018-4-7011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内侧半月板后角附着区损伤的缝合修复及对膝骨关节炎进程的影响</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刘松洋</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北京市隆福医院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18.4</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100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首发2018-4-7024</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家庭医生团队管理对城市社区中重度失能老人生活质量的影响研究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李琬璐</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北京市西城区陶然亭社区卫生服务中心</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101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首发2018-3-7031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温和灸加淋巴引流术治疗乳腺癌术后上肢水肿的临床研究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樊英怡</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北京中医药大学第三附属医院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基层普及</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102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首发2018-1-7032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中医药减少抗生素应用治疗急性化脓性乳腺炎的临床疗效评价研究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裴晓华</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北京中医药大学第三附属医院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重点攻关</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96.2</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103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首发2018-3-7041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经椎间孔入路内窥镜手术联合富血小板血浆治疗腰椎间盘突出症的临床疗效研究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蒋毅</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北京市海淀医院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基层普及</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104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首发2018-1-7051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方庄智慧家医健康管理推广与示范研究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rPr>
              <w:t>吴浩</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北京市丰台区方庄社区卫生服务中心</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重点攻关</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287.298</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105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首发2018-3-7071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以学生和家长体重控制为切入点探索居民减重方法研究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刘晓芬</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北京市房山区疾病预防控制中心</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基层普及</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106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首发2018-2-7081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“以器官系统为基础，以疾病为核心”的学科建设模式探讨</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纪智礼</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首都医科大学附属北京潞河医院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107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首发2018-2-7082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心电图指导下经桡动脉应用单根指引导管优先处理梗死相关动脉缩短门器械时间</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郭金成</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首都医科大学附属北京潞河医院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39.9951</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108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首发2018-3-7101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腹腔镜单双极四步法子宫切除术临床研究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米鑫</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北京市顺义区妇幼保健院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基层普及</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2.2</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109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首发2018-2-7102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多学科专家论证基础疾病儿童预防接种模式的建立与应用研究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王凤双</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顺义区疾病预防控制中心</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34.58</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110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首发2018-3-7121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早期糖尿病筛查及干预对高危孕妇妊娠结局影响研究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马秀华</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大兴区人民医院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基层普及</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12.2</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终止</w:t>
            </w:r>
          </w:p>
        </w:tc>
      </w:tr>
      <w:tr>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111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首发2018-2-8011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榄香烯联合替莫唑胺治疗成人初发IDH-1野生型胶质母细胞瘤临床疗效研究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李守巍</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首都医科大学三博脑科医院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34.5</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终止</w:t>
            </w:r>
          </w:p>
        </w:tc>
      </w:tr>
    </w:tbl>
    <w:p>
      <w:pPr>
        <w:rPr>
          <w:rFonts w:ascii="仿宋_GB2312" w:hAnsi="宋体" w:eastAsia="仿宋_GB2312" w:cs="宋体"/>
          <w:kern w:val="0"/>
          <w:sz w:val="32"/>
          <w:szCs w:val="32"/>
        </w:rPr>
      </w:pPr>
    </w:p>
    <w:p>
      <w:pPr>
        <w:adjustRightInd w:val="0"/>
        <w:snapToGrid w:val="0"/>
        <w:spacing w:line="336" w:lineRule="auto"/>
        <w:rPr>
          <w:rFonts w:hint="eastAsia" w:ascii="仿宋_GB2312" w:hAnsi="仿宋_GB2312" w:eastAsia="仿宋_GB2312" w:cs="仿宋_GB2312"/>
          <w:sz w:val="32"/>
          <w:szCs w:val="32"/>
        </w:rPr>
        <w:sectPr>
          <w:pgSz w:w="16838" w:h="11906" w:orient="landscape"/>
          <w:pgMar w:top="1587" w:right="1417" w:bottom="1417" w:left="1418" w:header="851" w:footer="992" w:gutter="0"/>
          <w:pgBorders>
            <w:top w:val="none" w:sz="0" w:space="0"/>
            <w:left w:val="none" w:sz="0" w:space="0"/>
            <w:bottom w:val="none" w:sz="0" w:space="0"/>
            <w:right w:val="none" w:sz="0" w:space="0"/>
          </w:pgBorders>
          <w:pgNumType w:fmt="numberInDash"/>
          <w:cols w:space="720" w:num="1"/>
          <w:rtlGutter w:val="0"/>
          <w:docGrid w:type="lines" w:linePitch="317" w:charSpace="0"/>
        </w:sectPr>
      </w:pPr>
      <w:r>
        <w:rPr>
          <w:rFonts w:hint="eastAsia" w:ascii="仿宋_GB2312" w:hAnsi="仿宋_GB2312" w:eastAsia="仿宋_GB2312" w:cs="仿宋_GB2312"/>
          <w:sz w:val="32"/>
          <w:szCs w:val="32"/>
        </w:rPr>
        <w:t xml:space="preserve">  </w:t>
      </w:r>
    </w:p>
    <w:p>
      <w:pPr>
        <w:adjustRightInd w:val="0"/>
        <w:snapToGrid w:val="0"/>
        <w:spacing w:beforeLines="0" w:afterLines="0" w:line="240" w:lineRule="auto"/>
        <w:rPr>
          <w:rFonts w:hint="eastAsia" w:ascii="黑体" w:hAnsi="黑体" w:eastAsia="黑体" w:cs="黑体"/>
          <w:sz w:val="32"/>
          <w:szCs w:val="32"/>
        </w:rPr>
      </w:pPr>
      <w:r>
        <w:rPr>
          <w:rFonts w:hint="eastAsia" w:ascii="黑体" w:hAnsi="黑体" w:eastAsia="黑体" w:cs="黑体"/>
          <w:sz w:val="32"/>
          <w:szCs w:val="32"/>
        </w:rPr>
        <w:t>附件2</w:t>
      </w:r>
    </w:p>
    <w:p>
      <w:pPr>
        <w:adjustRightInd w:val="0"/>
        <w:snapToGrid w:val="0"/>
        <w:spacing w:beforeLines="0" w:afterLines="0" w:line="240" w:lineRule="auto"/>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首都卫生发展科研专项项目</w:t>
      </w:r>
    </w:p>
    <w:p>
      <w:pPr>
        <w:adjustRightInd w:val="0"/>
        <w:snapToGrid w:val="0"/>
        <w:spacing w:beforeLines="0" w:afterLines="0" w:line="240" w:lineRule="auto"/>
        <w:ind w:firstLine="0" w:firstLineChars="0"/>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bCs/>
          <w:sz w:val="44"/>
          <w:szCs w:val="44"/>
        </w:rPr>
        <w:t>结题审计准备资料清单</w:t>
      </w:r>
    </w:p>
    <w:p>
      <w:pPr>
        <w:adjustRightInd w:val="0"/>
        <w:snapToGrid w:val="0"/>
        <w:spacing w:beforeLines="0" w:afterLines="0"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一、首都卫生发展科研专项项目任务书；如有变更，请提供变更申请及批复文件；</w:t>
      </w:r>
    </w:p>
    <w:p>
      <w:pPr>
        <w:adjustRightInd w:val="0"/>
        <w:snapToGrid w:val="0"/>
        <w:spacing w:beforeLines="0" w:afterLines="0" w:line="30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通过业务验收的项目需提供《首都卫生发展科研专项项目结题报告书》；终止的项目需提供阶段性工作性总结。多家合作单位完成的项目，合作单位应在《结题报告书》中签署意见，结题报告书附件主要包括公开发表的论文、专著、获奖证书、专利证书、联合攻关项目的科研合作协议书、合作单位经费转帐单据等复印件</w:t>
      </w:r>
      <w:r>
        <w:rPr>
          <w:rFonts w:hint="eastAsia" w:ascii="仿宋_GB2312" w:hAnsi="仿宋_GB2312" w:eastAsia="仿宋_GB2312" w:cs="仿宋_GB2312"/>
          <w:sz w:val="32"/>
          <w:szCs w:val="32"/>
          <w:lang w:eastAsia="zh-CN"/>
        </w:rPr>
        <w:t>一份</w:t>
      </w:r>
      <w:r>
        <w:rPr>
          <w:rFonts w:hint="eastAsia" w:ascii="仿宋_GB2312" w:hAnsi="仿宋_GB2312" w:eastAsia="仿宋_GB2312" w:cs="仿宋_GB2312"/>
          <w:sz w:val="32"/>
          <w:szCs w:val="32"/>
        </w:rPr>
        <w:t>。</w:t>
      </w:r>
    </w:p>
    <w:p>
      <w:pPr>
        <w:adjustRightInd w:val="0"/>
        <w:snapToGrid w:val="0"/>
        <w:spacing w:beforeLines="0" w:afterLines="0"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三、《首都卫生发展科研专项项目经费决算表》，要求加盖公章、单位负责人签章、课题负责人签章；</w:t>
      </w:r>
    </w:p>
    <w:p>
      <w:pPr>
        <w:adjustRightInd w:val="0"/>
        <w:snapToGrid w:val="0"/>
        <w:spacing w:beforeLines="0" w:afterLines="0"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四、单位科研经费管理办法；</w:t>
      </w:r>
    </w:p>
    <w:p>
      <w:pPr>
        <w:adjustRightInd w:val="0"/>
        <w:snapToGrid w:val="0"/>
        <w:spacing w:beforeLines="0" w:afterLines="0" w:line="30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五、按规定单独设置本项目课题经费支出明细帐簿；</w:t>
      </w:r>
    </w:p>
    <w:p>
      <w:pPr>
        <w:adjustRightInd w:val="0"/>
        <w:snapToGrid w:val="0"/>
        <w:spacing w:beforeLines="0" w:afterLines="0" w:line="30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六、试验外协费、合作费、租赁费的相关合同或协议书、拨款凭证（收款通知）； </w:t>
      </w:r>
    </w:p>
    <w:p>
      <w:pPr>
        <w:adjustRightInd w:val="0"/>
        <w:snapToGrid w:val="0"/>
        <w:spacing w:beforeLines="0" w:afterLines="0"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七、与课题相关的会计记账凭证和原始凭证（原件或复印件加盖公章，原始凭证请提供齐全，包括各种相关资料）；</w:t>
      </w:r>
    </w:p>
    <w:p>
      <w:pPr>
        <w:adjustRightInd w:val="0"/>
        <w:snapToGrid w:val="0"/>
        <w:spacing w:beforeLines="0" w:afterLines="0" w:line="30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八、购置设备的清单（注明存放地点）； </w:t>
      </w:r>
    </w:p>
    <w:p>
      <w:pPr>
        <w:adjustRightInd w:val="0"/>
        <w:snapToGrid w:val="0"/>
        <w:spacing w:beforeLines="0" w:afterLines="0"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九、调研费中有调研、考察、咨询、培训费的，请提供与课题有关的培训资料及相关的会议通知、会议纪要、考察报告；</w:t>
      </w:r>
    </w:p>
    <w:p>
      <w:pPr>
        <w:adjustRightInd w:val="0"/>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color w:val="auto"/>
          <w:sz w:val="32"/>
          <w:szCs w:val="32"/>
        </w:rPr>
        <w:t>关于该项目（课题）结余资金使用安排的说明；</w:t>
      </w:r>
    </w:p>
    <w:p>
      <w:pPr>
        <w:adjustRightInd w:val="0"/>
        <w:snapToGrid w:val="0"/>
        <w:spacing w:beforeLines="0" w:afterLines="0"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审计组认为需要提供的其他资料。</w:t>
      </w:r>
    </w:p>
    <w:p>
      <w:pPr>
        <w:adjustRightInd w:val="0"/>
        <w:snapToGrid w:val="0"/>
        <w:spacing w:beforeLines="0" w:afterLines="0" w:line="300" w:lineRule="auto"/>
        <w:ind w:firstLine="640" w:firstLineChars="200"/>
        <w:rPr>
          <w:rFonts w:hint="eastAsia" w:ascii="仿宋_GB2312" w:hAnsi="仿宋_GB2312" w:eastAsia="仿宋_GB2312" w:cs="仿宋_GB2312"/>
          <w:sz w:val="32"/>
          <w:szCs w:val="32"/>
        </w:rPr>
        <w:sectPr>
          <w:pgSz w:w="11906" w:h="16838"/>
          <w:pgMar w:top="2098" w:right="1474" w:bottom="1984" w:left="1587" w:header="851" w:footer="1531" w:gutter="0"/>
          <w:pgBorders>
            <w:top w:val="none" w:sz="0" w:space="0"/>
            <w:left w:val="none" w:sz="0" w:space="0"/>
            <w:bottom w:val="none" w:sz="0" w:space="0"/>
            <w:right w:val="none" w:sz="0" w:space="0"/>
          </w:pgBorders>
          <w:pgNumType w:fmt="numberInDash"/>
          <w:cols w:space="720" w:num="1"/>
          <w:rtlGutter w:val="0"/>
          <w:docGrid w:type="lines" w:linePitch="317" w:charSpace="0"/>
        </w:sectPr>
      </w:pPr>
    </w:p>
    <w:p>
      <w:pPr>
        <w:adjustRightInd w:val="0"/>
        <w:snapToGrid w:val="0"/>
        <w:spacing w:beforeLines="0" w:afterLines="0" w:line="240" w:lineRule="auto"/>
        <w:jc w:val="left"/>
        <w:rPr>
          <w:rFonts w:hint="eastAsia" w:ascii="黑体" w:hAnsi="黑体" w:eastAsia="黑体" w:cs="黑体"/>
          <w:sz w:val="32"/>
          <w:szCs w:val="32"/>
        </w:rPr>
      </w:pPr>
      <w:r>
        <w:rPr>
          <w:rFonts w:hint="eastAsia" w:ascii="黑体" w:hAnsi="黑体" w:eastAsia="黑体" w:cs="黑体"/>
          <w:sz w:val="32"/>
          <w:szCs w:val="32"/>
        </w:rPr>
        <w:t>附件3</w:t>
      </w:r>
    </w:p>
    <w:tbl>
      <w:tblPr>
        <w:tblStyle w:val="3"/>
        <w:tblW w:w="0" w:type="auto"/>
        <w:tblInd w:w="0" w:type="dxa"/>
        <w:tblLayout w:type="fixed"/>
        <w:tblCellMar>
          <w:top w:w="0" w:type="dxa"/>
          <w:left w:w="0" w:type="dxa"/>
          <w:bottom w:w="0" w:type="dxa"/>
          <w:right w:w="0" w:type="dxa"/>
        </w:tblCellMar>
      </w:tblPr>
      <w:tblGrid>
        <w:gridCol w:w="2320"/>
        <w:gridCol w:w="820"/>
        <w:gridCol w:w="780"/>
        <w:gridCol w:w="700"/>
        <w:gridCol w:w="820"/>
        <w:gridCol w:w="880"/>
        <w:gridCol w:w="680"/>
        <w:gridCol w:w="940"/>
        <w:gridCol w:w="820"/>
        <w:gridCol w:w="800"/>
        <w:gridCol w:w="880"/>
        <w:gridCol w:w="800"/>
        <w:gridCol w:w="840"/>
        <w:gridCol w:w="820"/>
        <w:gridCol w:w="740"/>
        <w:gridCol w:w="820"/>
      </w:tblGrid>
      <w:tr>
        <w:tblPrEx>
          <w:tblCellMar>
            <w:top w:w="0" w:type="dxa"/>
            <w:left w:w="0" w:type="dxa"/>
            <w:bottom w:w="0" w:type="dxa"/>
            <w:right w:w="0" w:type="dxa"/>
          </w:tblCellMar>
        </w:tblPrEx>
        <w:trPr>
          <w:trHeight w:val="693" w:hRule="atLeast"/>
        </w:trPr>
        <w:tc>
          <w:tcPr>
            <w:tcW w:w="14460" w:type="dxa"/>
            <w:gridSpan w:val="16"/>
            <w:tcBorders>
              <w:top w:val="nil"/>
              <w:left w:val="nil"/>
              <w:bottom w:val="nil"/>
              <w:right w:val="nil"/>
            </w:tcBorders>
            <w:noWrap w:val="0"/>
            <w:tcMar>
              <w:top w:w="15" w:type="dxa"/>
              <w:left w:w="15" w:type="dxa"/>
              <w:right w:w="15" w:type="dxa"/>
            </w:tcMar>
            <w:vAlign w:val="center"/>
          </w:tcPr>
          <w:p>
            <w:pPr>
              <w:keepNext w:val="0"/>
              <w:keepLines w:val="0"/>
              <w:widowControl/>
              <w:suppressLineNumbers w:val="0"/>
              <w:adjustRightInd w:val="0"/>
              <w:snapToGrid w:val="0"/>
              <w:spacing w:beforeLines="0" w:afterLines="0"/>
              <w:jc w:val="center"/>
              <w:textAlignment w:val="center"/>
              <w:rPr>
                <w:rFonts w:hint="eastAsia" w:ascii="宋体" w:hAnsi="宋体" w:eastAsia="宋体" w:cs="宋体"/>
                <w:b/>
                <w:i w:val="0"/>
                <w:color w:val="000000"/>
                <w:sz w:val="40"/>
                <w:szCs w:val="40"/>
                <w:u w:val="none"/>
              </w:rPr>
            </w:pPr>
            <w:r>
              <w:rPr>
                <w:rFonts w:hint="eastAsia" w:ascii="方正小标宋简体" w:hAnsi="方正小标宋简体" w:eastAsia="方正小标宋简体" w:cs="方正小标宋简体"/>
                <w:b w:val="0"/>
                <w:bCs/>
                <w:i w:val="0"/>
                <w:color w:val="000000"/>
                <w:kern w:val="0"/>
                <w:sz w:val="44"/>
                <w:szCs w:val="44"/>
                <w:u w:val="none"/>
                <w:lang w:val="en-US" w:eastAsia="zh-CN" w:bidi="ar-SA"/>
              </w:rPr>
              <w:t>首都卫生发展科研专项项目经费支出审定表</w:t>
            </w:r>
          </w:p>
        </w:tc>
      </w:tr>
      <w:tr>
        <w:tblPrEx>
          <w:tblCellMar>
            <w:top w:w="0" w:type="dxa"/>
            <w:left w:w="0" w:type="dxa"/>
            <w:bottom w:w="0" w:type="dxa"/>
            <w:right w:w="0" w:type="dxa"/>
          </w:tblCellMar>
        </w:tblPrEx>
        <w:trPr>
          <w:trHeight w:val="453" w:hRule="atLeast"/>
        </w:trPr>
        <w:tc>
          <w:tcPr>
            <w:tcW w:w="7940" w:type="dxa"/>
            <w:gridSpan w:val="8"/>
            <w:tcBorders>
              <w:top w:val="nil"/>
              <w:left w:val="nil"/>
              <w:bottom w:val="single" w:color="auto"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项目名称：</w:t>
            </w:r>
          </w:p>
        </w:tc>
        <w:tc>
          <w:tcPr>
            <w:tcW w:w="2500" w:type="dxa"/>
            <w:gridSpan w:val="3"/>
            <w:tcBorders>
              <w:top w:val="nil"/>
              <w:left w:val="nil"/>
              <w:bottom w:val="single" w:color="auto"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项目编号：</w:t>
            </w:r>
          </w:p>
        </w:tc>
        <w:tc>
          <w:tcPr>
            <w:tcW w:w="800" w:type="dxa"/>
            <w:tcBorders>
              <w:top w:val="nil"/>
              <w:left w:val="nil"/>
              <w:bottom w:val="nil"/>
              <w:right w:val="nil"/>
            </w:tcBorders>
            <w:noWrap w:val="0"/>
            <w:tcMar>
              <w:top w:w="15" w:type="dxa"/>
              <w:left w:w="15" w:type="dxa"/>
              <w:right w:w="15" w:type="dxa"/>
            </w:tcMar>
            <w:vAlign w:val="bottom"/>
          </w:tcPr>
          <w:p>
            <w:pPr>
              <w:jc w:val="left"/>
              <w:rPr>
                <w:rFonts w:hint="eastAsia" w:ascii="宋体" w:hAnsi="宋体" w:eastAsia="宋体" w:cs="宋体"/>
                <w:b/>
                <w:i w:val="0"/>
                <w:color w:val="000000"/>
                <w:sz w:val="24"/>
                <w:szCs w:val="24"/>
                <w:u w:val="none"/>
              </w:rPr>
            </w:pPr>
          </w:p>
        </w:tc>
        <w:tc>
          <w:tcPr>
            <w:tcW w:w="840" w:type="dxa"/>
            <w:tcBorders>
              <w:top w:val="nil"/>
              <w:left w:val="nil"/>
              <w:bottom w:val="nil"/>
              <w:right w:val="nil"/>
            </w:tcBorders>
            <w:noWrap w:val="0"/>
            <w:tcMar>
              <w:top w:w="15" w:type="dxa"/>
              <w:left w:w="15" w:type="dxa"/>
              <w:right w:w="15" w:type="dxa"/>
            </w:tcMar>
            <w:vAlign w:val="center"/>
          </w:tcPr>
          <w:p>
            <w:pPr>
              <w:jc w:val="left"/>
              <w:rPr>
                <w:rFonts w:hint="eastAsia" w:ascii="宋体" w:hAnsi="宋体" w:eastAsia="宋体" w:cs="宋体"/>
                <w:b/>
                <w:i w:val="0"/>
                <w:color w:val="000000"/>
                <w:sz w:val="24"/>
                <w:szCs w:val="24"/>
                <w:u w:val="none"/>
              </w:rPr>
            </w:pPr>
          </w:p>
        </w:tc>
        <w:tc>
          <w:tcPr>
            <w:tcW w:w="820" w:type="dxa"/>
            <w:tcBorders>
              <w:top w:val="nil"/>
              <w:left w:val="nil"/>
              <w:bottom w:val="nil"/>
              <w:right w:val="nil"/>
            </w:tcBorders>
            <w:noWrap w:val="0"/>
            <w:tcMar>
              <w:top w:w="15" w:type="dxa"/>
              <w:left w:w="15" w:type="dxa"/>
              <w:right w:w="15" w:type="dxa"/>
            </w:tcMar>
            <w:vAlign w:val="center"/>
          </w:tcPr>
          <w:p>
            <w:pPr>
              <w:jc w:val="left"/>
              <w:rPr>
                <w:rFonts w:hint="eastAsia" w:ascii="宋体" w:hAnsi="宋体" w:eastAsia="宋体" w:cs="宋体"/>
                <w:b/>
                <w:i w:val="0"/>
                <w:color w:val="000000"/>
                <w:sz w:val="24"/>
                <w:szCs w:val="24"/>
                <w:u w:val="none"/>
              </w:rPr>
            </w:pPr>
          </w:p>
        </w:tc>
        <w:tc>
          <w:tcPr>
            <w:tcW w:w="1560" w:type="dxa"/>
            <w:gridSpan w:val="2"/>
            <w:tcBorders>
              <w:top w:val="nil"/>
              <w:left w:val="nil"/>
              <w:bottom w:val="single" w:color="auto"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单位：万元</w:t>
            </w:r>
          </w:p>
        </w:tc>
      </w:tr>
      <w:tr>
        <w:tblPrEx>
          <w:tblCellMar>
            <w:top w:w="0" w:type="dxa"/>
            <w:left w:w="0" w:type="dxa"/>
            <w:bottom w:w="0" w:type="dxa"/>
            <w:right w:w="0" w:type="dxa"/>
          </w:tblCellMar>
        </w:tblPrEx>
        <w:trPr>
          <w:trHeight w:val="559" w:hRule="atLeast"/>
        </w:trPr>
        <w:tc>
          <w:tcPr>
            <w:tcW w:w="2320" w:type="dxa"/>
            <w:vMerge w:val="restar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科   目</w:t>
            </w:r>
          </w:p>
        </w:tc>
        <w:tc>
          <w:tcPr>
            <w:tcW w:w="1600" w:type="dxa"/>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预算批复数</w:t>
            </w:r>
          </w:p>
        </w:tc>
        <w:tc>
          <w:tcPr>
            <w:tcW w:w="700" w:type="dxa"/>
            <w:vMerge w:val="restart"/>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合计</w:t>
            </w:r>
          </w:p>
        </w:tc>
        <w:tc>
          <w:tcPr>
            <w:tcW w:w="1700" w:type="dxa"/>
            <w:gridSpan w:val="2"/>
            <w:tcBorders>
              <w:top w:val="single" w:color="auto" w:sz="4" w:space="0"/>
              <w:left w:val="nil"/>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单位调整数</w:t>
            </w:r>
          </w:p>
        </w:tc>
        <w:tc>
          <w:tcPr>
            <w:tcW w:w="680" w:type="dxa"/>
            <w:vMerge w:val="restart"/>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合计</w:t>
            </w:r>
          </w:p>
        </w:tc>
        <w:tc>
          <w:tcPr>
            <w:tcW w:w="940" w:type="dxa"/>
            <w:vMerge w:val="restart"/>
            <w:tcBorders>
              <w:top w:val="nil"/>
              <w:left w:val="single" w:color="auto"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批复</w:t>
            </w:r>
            <w:r>
              <w:rPr>
                <w:rFonts w:hint="eastAsia" w:ascii="宋体" w:hAnsi="宋体" w:eastAsia="宋体" w:cs="宋体"/>
                <w:b/>
                <w:i w:val="0"/>
                <w:color w:val="000000"/>
                <w:kern w:val="0"/>
                <w:sz w:val="24"/>
                <w:szCs w:val="24"/>
                <w:u w:val="none"/>
                <w:lang w:val="en-US" w:eastAsia="zh-CN" w:bidi="ar-SA"/>
              </w:rPr>
              <w:br w:type="textWrapping"/>
            </w:r>
            <w:r>
              <w:rPr>
                <w:rFonts w:hint="eastAsia" w:ascii="宋体" w:hAnsi="宋体" w:eastAsia="宋体" w:cs="宋体"/>
                <w:b/>
                <w:i w:val="0"/>
                <w:color w:val="000000"/>
                <w:kern w:val="0"/>
                <w:sz w:val="24"/>
                <w:szCs w:val="24"/>
                <w:u w:val="none"/>
                <w:lang w:val="en-US" w:eastAsia="zh-CN" w:bidi="ar-SA"/>
              </w:rPr>
              <w:t>调整数</w:t>
            </w:r>
          </w:p>
        </w:tc>
        <w:tc>
          <w:tcPr>
            <w:tcW w:w="162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实际支出数</w:t>
            </w:r>
          </w:p>
        </w:tc>
        <w:tc>
          <w:tcPr>
            <w:tcW w:w="1680" w:type="dxa"/>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调增调减数</w:t>
            </w:r>
          </w:p>
        </w:tc>
        <w:tc>
          <w:tcPr>
            <w:tcW w:w="1660" w:type="dxa"/>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审计审定数</w:t>
            </w:r>
          </w:p>
        </w:tc>
        <w:tc>
          <w:tcPr>
            <w:tcW w:w="740" w:type="dxa"/>
            <w:vMerge w:val="restart"/>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结余</w:t>
            </w:r>
          </w:p>
        </w:tc>
        <w:tc>
          <w:tcPr>
            <w:tcW w:w="820" w:type="dxa"/>
            <w:vMerge w:val="restart"/>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备注</w:t>
            </w:r>
          </w:p>
        </w:tc>
      </w:tr>
      <w:tr>
        <w:tblPrEx>
          <w:tblCellMar>
            <w:top w:w="0" w:type="dxa"/>
            <w:left w:w="0" w:type="dxa"/>
            <w:bottom w:w="0" w:type="dxa"/>
            <w:right w:w="0" w:type="dxa"/>
          </w:tblCellMar>
        </w:tblPrEx>
        <w:trPr>
          <w:trHeight w:val="559" w:hRule="atLeast"/>
        </w:trPr>
        <w:tc>
          <w:tcPr>
            <w:tcW w:w="232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82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专项</w:t>
            </w:r>
          </w:p>
        </w:tc>
        <w:tc>
          <w:tcPr>
            <w:tcW w:w="78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自筹</w:t>
            </w:r>
          </w:p>
        </w:tc>
        <w:tc>
          <w:tcPr>
            <w:tcW w:w="70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82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专项</w:t>
            </w:r>
          </w:p>
        </w:tc>
        <w:tc>
          <w:tcPr>
            <w:tcW w:w="88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自筹</w:t>
            </w:r>
          </w:p>
        </w:tc>
        <w:tc>
          <w:tcPr>
            <w:tcW w:w="68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40" w:type="dxa"/>
            <w:vMerge w:val="continue"/>
            <w:tcBorders>
              <w:top w:val="nil"/>
              <w:left w:val="single" w:color="auto"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82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专项</w:t>
            </w:r>
          </w:p>
        </w:tc>
        <w:tc>
          <w:tcPr>
            <w:tcW w:w="80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自筹</w:t>
            </w:r>
          </w:p>
        </w:tc>
        <w:tc>
          <w:tcPr>
            <w:tcW w:w="88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专项</w:t>
            </w:r>
          </w:p>
        </w:tc>
        <w:tc>
          <w:tcPr>
            <w:tcW w:w="80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自筹</w:t>
            </w:r>
          </w:p>
        </w:tc>
        <w:tc>
          <w:tcPr>
            <w:tcW w:w="84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专项</w:t>
            </w:r>
          </w:p>
        </w:tc>
        <w:tc>
          <w:tcPr>
            <w:tcW w:w="82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自筹</w:t>
            </w:r>
          </w:p>
        </w:tc>
        <w:tc>
          <w:tcPr>
            <w:tcW w:w="74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82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559" w:hRule="atLeast"/>
        </w:trPr>
        <w:tc>
          <w:tcPr>
            <w:tcW w:w="232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设备费</w:t>
            </w:r>
          </w:p>
        </w:tc>
        <w:tc>
          <w:tcPr>
            <w:tcW w:w="82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8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0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8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68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94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2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8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4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4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59" w:hRule="atLeast"/>
        </w:trPr>
        <w:tc>
          <w:tcPr>
            <w:tcW w:w="232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材料费</w:t>
            </w:r>
          </w:p>
        </w:tc>
        <w:tc>
          <w:tcPr>
            <w:tcW w:w="82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8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0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8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68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94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2"/>
                <w:szCs w:val="22"/>
                <w:u w:val="none"/>
              </w:rPr>
            </w:pPr>
          </w:p>
        </w:tc>
        <w:tc>
          <w:tcPr>
            <w:tcW w:w="82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8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4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4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59" w:hRule="atLeast"/>
        </w:trPr>
        <w:tc>
          <w:tcPr>
            <w:tcW w:w="232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测试化验加工费</w:t>
            </w:r>
          </w:p>
        </w:tc>
        <w:tc>
          <w:tcPr>
            <w:tcW w:w="82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8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0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8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68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94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2"/>
                <w:szCs w:val="22"/>
                <w:u w:val="none"/>
              </w:rPr>
            </w:pPr>
          </w:p>
        </w:tc>
        <w:tc>
          <w:tcPr>
            <w:tcW w:w="82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8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4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4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59" w:hRule="atLeast"/>
        </w:trPr>
        <w:tc>
          <w:tcPr>
            <w:tcW w:w="232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燃料动力费</w:t>
            </w:r>
          </w:p>
        </w:tc>
        <w:tc>
          <w:tcPr>
            <w:tcW w:w="82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8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0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8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68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94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2"/>
                <w:szCs w:val="22"/>
                <w:u w:val="none"/>
              </w:rPr>
            </w:pPr>
          </w:p>
        </w:tc>
        <w:tc>
          <w:tcPr>
            <w:tcW w:w="82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8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4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4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59" w:hRule="atLeast"/>
        </w:trPr>
        <w:tc>
          <w:tcPr>
            <w:tcW w:w="232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差旅费</w:t>
            </w:r>
          </w:p>
        </w:tc>
        <w:tc>
          <w:tcPr>
            <w:tcW w:w="82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8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0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8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68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94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2"/>
                <w:szCs w:val="22"/>
                <w:u w:val="none"/>
              </w:rPr>
            </w:pPr>
          </w:p>
        </w:tc>
        <w:tc>
          <w:tcPr>
            <w:tcW w:w="82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8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4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4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59" w:hRule="atLeast"/>
        </w:trPr>
        <w:tc>
          <w:tcPr>
            <w:tcW w:w="232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会议费</w:t>
            </w:r>
          </w:p>
        </w:tc>
        <w:tc>
          <w:tcPr>
            <w:tcW w:w="82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8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0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8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68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94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2"/>
                <w:szCs w:val="22"/>
                <w:u w:val="none"/>
              </w:rPr>
            </w:pPr>
          </w:p>
        </w:tc>
        <w:tc>
          <w:tcPr>
            <w:tcW w:w="82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8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4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4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59" w:hRule="atLeast"/>
        </w:trPr>
        <w:tc>
          <w:tcPr>
            <w:tcW w:w="232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国际合作交流费</w:t>
            </w:r>
          </w:p>
        </w:tc>
        <w:tc>
          <w:tcPr>
            <w:tcW w:w="82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8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0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8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68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94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2"/>
                <w:szCs w:val="22"/>
                <w:u w:val="none"/>
              </w:rPr>
            </w:pPr>
          </w:p>
        </w:tc>
        <w:tc>
          <w:tcPr>
            <w:tcW w:w="82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8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4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4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0" w:hRule="atLeast"/>
        </w:trPr>
        <w:tc>
          <w:tcPr>
            <w:tcW w:w="232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出版/文献/信息传播/知识产权事务费</w:t>
            </w:r>
          </w:p>
        </w:tc>
        <w:tc>
          <w:tcPr>
            <w:tcW w:w="82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8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0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8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68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94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2"/>
                <w:szCs w:val="22"/>
                <w:u w:val="none"/>
              </w:rPr>
            </w:pPr>
          </w:p>
        </w:tc>
        <w:tc>
          <w:tcPr>
            <w:tcW w:w="82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8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4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4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59" w:hRule="atLeast"/>
        </w:trPr>
        <w:tc>
          <w:tcPr>
            <w:tcW w:w="232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劳务费</w:t>
            </w:r>
          </w:p>
        </w:tc>
        <w:tc>
          <w:tcPr>
            <w:tcW w:w="82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8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0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8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68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94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2"/>
                <w:szCs w:val="22"/>
                <w:u w:val="none"/>
              </w:rPr>
            </w:pPr>
          </w:p>
        </w:tc>
        <w:tc>
          <w:tcPr>
            <w:tcW w:w="82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8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4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4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bl>
    <w:p>
      <w:pP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注：1.调增调减数、审计审定数、结余三栏由审计事务所填写。</w:t>
      </w:r>
    </w:p>
    <w:p>
      <w:pP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2.单位调整数合计=专项调整后的数+自筹调整后的数</w:t>
      </w:r>
    </w:p>
    <w:p>
      <w:pP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3.批复调整数=批复调整后的数（专项资金）+自筹预算批复数</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1A1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 w:type="paragraph" w:customStyle="1" w:styleId="6">
    <w:name w:val=" Char"/>
    <w:basedOn w:val="1"/>
    <w:uiPriority w:val="0"/>
    <w:rPr>
      <w:rFonts w:ascii="宋体" w:hAnsi="宋体" w:cs="Courier New"/>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2021-09-03T06:19:26Z</dcterms:created>
  <dc:creator>wu'x's</dc:creator>
  <cp:lastModifiedBy>mongolian</cp:lastModifiedBy>
  <dcterms:modified xsi:type="dcterms:W3CDTF">2021-09-03T06:19:36Z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022CDECC9EAF4242BCAF31F06FD12065</vt:lpwstr>
  </property>
</Properties>
</file>