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Style w:val="9"/>
          <w:rFonts w:hint="eastAsia" w:ascii="仿宋_GB2312" w:hAnsi="仿宋_GB2312" w:eastAsia="仿宋_GB2312" w:cs="仿宋_GB2312"/>
          <w:bCs/>
        </w:rPr>
      </w:pPr>
    </w:p>
    <w:p>
      <w:pPr>
        <w:snapToGrid w:val="0"/>
        <w:spacing w:line="360" w:lineRule="auto"/>
        <w:rPr>
          <w:rStyle w:val="9"/>
          <w:rFonts w:ascii="黑体" w:hAnsi="黑体" w:eastAsia="黑体"/>
        </w:rPr>
      </w:pPr>
      <w:bookmarkStart w:id="0" w:name="_GoBack"/>
      <w:bookmarkEnd w:id="0"/>
    </w:p>
    <w:p>
      <w:pPr>
        <w:snapToGrid w:val="0"/>
        <w:spacing w:line="360" w:lineRule="auto"/>
        <w:rPr>
          <w:rStyle w:val="9"/>
          <w:rFonts w:ascii="黑体" w:hAnsi="黑体" w:eastAsia="黑体"/>
        </w:rPr>
      </w:pPr>
      <w:r>
        <w:rPr>
          <w:rStyle w:val="9"/>
          <w:rFonts w:ascii="黑体" w:hAnsi="黑体" w:eastAsia="黑体"/>
        </w:rPr>
        <w:t>附件</w:t>
      </w:r>
    </w:p>
    <w:p>
      <w:pPr>
        <w:snapToGrid w:val="0"/>
        <w:spacing w:line="300" w:lineRule="auto"/>
        <w:jc w:val="center"/>
        <w:rPr>
          <w:rStyle w:val="9"/>
          <w:rFonts w:ascii="方正小标宋简体" w:eastAsia="方正小标宋简体"/>
          <w:sz w:val="44"/>
          <w:szCs w:val="44"/>
        </w:rPr>
      </w:pPr>
      <w:r>
        <w:rPr>
          <w:rStyle w:val="9"/>
          <w:rFonts w:ascii="方正小标宋简体" w:eastAsia="方正小标宋简体"/>
          <w:sz w:val="44"/>
          <w:szCs w:val="44"/>
        </w:rPr>
        <w:t>准予开展“临床基因扩增检验技术”</w:t>
      </w:r>
    </w:p>
    <w:p>
      <w:pPr>
        <w:snapToGrid w:val="0"/>
        <w:spacing w:line="300" w:lineRule="auto"/>
        <w:jc w:val="center"/>
        <w:rPr>
          <w:rStyle w:val="9"/>
          <w:rFonts w:ascii="方正小标宋简体" w:eastAsia="方正小标宋简体"/>
          <w:sz w:val="44"/>
          <w:szCs w:val="44"/>
        </w:rPr>
      </w:pPr>
      <w:r>
        <w:rPr>
          <w:rStyle w:val="9"/>
          <w:rFonts w:ascii="方正小标宋简体" w:eastAsia="方正小标宋简体"/>
          <w:sz w:val="44"/>
          <w:szCs w:val="44"/>
        </w:rPr>
        <w:t>的医疗机构名单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180"/>
        <w:gridCol w:w="5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ascii="黑体" w:hAnsi="黑体" w:eastAsia="黑体"/>
                <w:kern w:val="0"/>
              </w:rPr>
            </w:pPr>
            <w:r>
              <w:rPr>
                <w:rStyle w:val="9"/>
                <w:rFonts w:ascii="黑体" w:hAnsi="黑体" w:eastAsia="黑体"/>
                <w:kern w:val="0"/>
              </w:rPr>
              <w:t>序号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ascii="黑体" w:hAnsi="黑体" w:eastAsia="黑体"/>
                <w:kern w:val="0"/>
              </w:rPr>
            </w:pPr>
            <w:r>
              <w:rPr>
                <w:rStyle w:val="9"/>
                <w:rFonts w:ascii="黑体" w:hAnsi="黑体" w:eastAsia="黑体"/>
                <w:kern w:val="0"/>
              </w:rPr>
              <w:t>医疗机构名称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ascii="黑体" w:hAnsi="黑体" w:eastAsia="黑体"/>
                <w:kern w:val="0"/>
              </w:rPr>
            </w:pPr>
            <w:r>
              <w:rPr>
                <w:rStyle w:val="9"/>
                <w:rFonts w:ascii="黑体" w:hAnsi="黑体" w:eastAsia="黑体"/>
                <w:kern w:val="0"/>
              </w:rPr>
              <w:t>备案检验项目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首都医科大学附属北京安贞医院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人类B-raf基因V600E突变检测、人类K-ras基因突变检测、基因表达水平对肿瘤药物敏感性的判断（人类NRAS基因突变检测）、人类EGFR基因突变检测、人类EML4-ALK融合基因检测、基因表达水平对肿瘤药物敏感性的判断（人类ROS1融合基因检测）、幽门螺杆菌核酸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首都医科大学附属北京妇产医院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人乳头瘤病毒基因分型检测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北京市房山区妇幼保健院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人乳头瘤病毒基因分型检测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北京博爱医院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spacing w:line="360" w:lineRule="auto"/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人乳头瘤病毒基因分型检测、甲型流感病毒核糖核酸检测、肺炎衣原体核酸检测、肺炎支原体核酸检测、沙眼衣原体核酸检测、淋球菌核酸检测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北京爱普益医学检验中心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病原体（诺如病毒）核糖核酸扩增定性检测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北京核子华曦医学检验实验室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病原体（诺如病毒）核糖核酸扩增定性检测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sz w:val="28"/>
                <w:szCs w:val="28"/>
              </w:rPr>
              <w:t>北京谱尼医学检验实验室</w:t>
            </w:r>
          </w:p>
        </w:tc>
        <w:tc>
          <w:tcPr>
            <w:tcW w:w="5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病原体（诺如病毒）核糖核酸扩增定性检测、肠道病毒71型核糖核酸检测、肠道病毒通用型核糖核酸检测、肺炎衣原体核酸检测、肺炎支原体核酸检测、结核/非结核分枝杆菌核酸检测、柯萨奇病毒A16型核糖核酸检测</w:t>
            </w:r>
          </w:p>
        </w:tc>
      </w:tr>
    </w:tbl>
    <w:p>
      <w:pPr>
        <w:snapToGrid w:val="0"/>
        <w:spacing w:before="312" w:line="360" w:lineRule="auto"/>
        <w:jc w:val="left"/>
        <w:rPr>
          <w:rStyle w:val="9"/>
          <w:rFonts w:ascii="仿宋_GB2312" w:eastAsia="仿宋_GB2312"/>
        </w:rPr>
      </w:pPr>
    </w:p>
    <w:p>
      <w:pPr>
        <w:snapToGrid w:val="0"/>
        <w:spacing w:before="312" w:line="360" w:lineRule="auto"/>
        <w:jc w:val="left"/>
        <w:rPr>
          <w:rStyle w:val="9"/>
          <w:rFonts w:ascii="仿宋_GB2312" w:eastAsia="仿宋_GB2312"/>
        </w:rPr>
      </w:pPr>
    </w:p>
    <w:p>
      <w:pPr>
        <w:snapToGrid w:val="0"/>
        <w:spacing w:before="312" w:line="360" w:lineRule="auto"/>
        <w:jc w:val="left"/>
        <w:rPr>
          <w:rStyle w:val="9"/>
          <w:rFonts w:ascii="仿宋_GB2312" w:eastAsia="仿宋_GB231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-PUA" w:eastAsia="宋体-PUA"/>
      </w:rPr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- 5 -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1E"/>
    <w:rsid w:val="00227794"/>
    <w:rsid w:val="005D51C1"/>
    <w:rsid w:val="0089711E"/>
    <w:rsid w:val="009E75B9"/>
    <w:rsid w:val="4515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NormalCharacter"/>
    <w:link w:val="10"/>
    <w:uiPriority w:val="0"/>
    <w:rPr>
      <w:rFonts w:ascii="宋体" w:hAnsi="宋体"/>
      <w:sz w:val="32"/>
      <w:szCs w:val="32"/>
    </w:rPr>
  </w:style>
  <w:style w:type="paragraph" w:customStyle="1" w:styleId="10">
    <w:name w:val="UserStyle_0"/>
    <w:basedOn w:val="1"/>
    <w:link w:val="9"/>
    <w:uiPriority w:val="0"/>
    <w:rPr>
      <w:rFonts w:ascii="宋体" w:hAnsi="宋体" w:eastAsiaTheme="minorEastAsia" w:cstheme="minorBidi"/>
      <w:sz w:val="32"/>
      <w:szCs w:val="32"/>
    </w:rPr>
  </w:style>
  <w:style w:type="paragraph" w:customStyle="1" w:styleId="11">
    <w:name w:val="HtmlPre"/>
    <w:basedOn w:val="1"/>
    <w:uiPriority w:val="0"/>
    <w:pPr>
      <w:jc w:val="left"/>
    </w:pPr>
    <w:rPr>
      <w:rFonts w:ascii="Arial" w:hAnsi="Arial"/>
      <w:kern w:val="0"/>
      <w:sz w:val="24"/>
    </w:rPr>
  </w:style>
  <w:style w:type="paragraph" w:customStyle="1" w:styleId="12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</Words>
  <Characters>1178</Characters>
  <Lines>9</Lines>
  <Paragraphs>2</Paragraphs>
  <TotalTime>1</TotalTime>
  <ScaleCrop>false</ScaleCrop>
  <LinksUpToDate>false</LinksUpToDate>
  <CharactersWithSpaces>1382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2021-01-25T01:30:00Z</dcterms:created>
  <dc:creator>网络部公用机</dc:creator>
  <cp:lastModifiedBy>wuxiaoshen</cp:lastModifiedBy>
  <dcterms:modified xsi:type="dcterms:W3CDTF">2021-01-25T02:14:48Z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