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附件5</w:t>
      </w:r>
    </w:p>
    <w:p>
      <w:pPr>
        <w:jc w:val="center"/>
        <w:rPr>
          <w:rFonts w:ascii="方正小标宋简体" w:hAnsi="宋体" w:eastAsia="方正小标宋简体" w:cs="仿宋_GB2312"/>
          <w:color w:val="000000"/>
          <w:sz w:val="36"/>
          <w:szCs w:val="36"/>
          <w:shd w:val="clear" w:color="auto" w:fill="FFFFFF"/>
        </w:rPr>
      </w:pPr>
      <w:r>
        <w:rPr>
          <w:rFonts w:hint="eastAsia" w:ascii="方正小标宋简体" w:hAnsi="宋体" w:eastAsia="方正小标宋简体" w:cs="仿宋_GB2312"/>
          <w:color w:val="000000"/>
          <w:sz w:val="36"/>
          <w:szCs w:val="36"/>
          <w:shd w:val="clear" w:color="auto" w:fill="FFFFFF"/>
        </w:rPr>
        <w:t>20</w:t>
      </w:r>
      <w:r>
        <w:rPr>
          <w:rFonts w:ascii="方正小标宋简体" w:hAnsi="宋体" w:eastAsia="方正小标宋简体" w:cs="仿宋_GB2312"/>
          <w:color w:val="000000"/>
          <w:sz w:val="36"/>
          <w:szCs w:val="36"/>
          <w:shd w:val="clear" w:color="auto" w:fill="FFFFFF"/>
        </w:rPr>
        <w:t>20</w:t>
      </w:r>
      <w:r>
        <w:rPr>
          <w:rFonts w:hint="eastAsia" w:ascii="方正小标宋简体" w:hAnsi="宋体" w:eastAsia="方正小标宋简体" w:cs="仿宋_GB2312"/>
          <w:color w:val="000000"/>
          <w:sz w:val="36"/>
          <w:szCs w:val="36"/>
          <w:shd w:val="clear" w:color="auto" w:fill="FFFFFF"/>
        </w:rPr>
        <w:t>年血液安全监督抽查计划</w:t>
      </w:r>
    </w:p>
    <w:p>
      <w:pPr>
        <w:jc w:val="center"/>
        <w:rPr>
          <w:rFonts w:ascii="仿宋_GB2312" w:hAnsi="宋体" w:eastAsia="仿宋_GB2312" w:cs="仿宋_GB2312"/>
          <w:color w:val="000000"/>
          <w:sz w:val="32"/>
          <w:szCs w:val="32"/>
          <w:shd w:val="clear" w:color="auto" w:fill="FFFFFF"/>
        </w:rPr>
      </w:pPr>
    </w:p>
    <w:p>
      <w:pPr>
        <w:widowControl/>
        <w:adjustRightInd w:val="0"/>
        <w:snapToGrid w:val="0"/>
        <w:spacing w:line="336" w:lineRule="auto"/>
        <w:ind w:firstLine="640" w:firstLineChars="200"/>
        <w:rPr>
          <w:rFonts w:ascii="仿宋_GB2312" w:eastAsia="仿宋_GB2312"/>
          <w:sz w:val="32"/>
          <w:szCs w:val="32"/>
        </w:rPr>
      </w:pPr>
      <w:r>
        <w:rPr>
          <w:rFonts w:hint="eastAsia" w:ascii="仿宋_GB2312" w:eastAsia="仿宋_GB2312"/>
          <w:sz w:val="32"/>
          <w:szCs w:val="32"/>
        </w:rPr>
        <w:t>根据《国家卫生健康委办公厅关于印发20</w:t>
      </w:r>
      <w:r>
        <w:rPr>
          <w:rFonts w:ascii="仿宋_GB2312" w:eastAsia="仿宋_GB2312"/>
          <w:sz w:val="32"/>
          <w:szCs w:val="32"/>
        </w:rPr>
        <w:t>20</w:t>
      </w:r>
      <w:r>
        <w:rPr>
          <w:rFonts w:hint="eastAsia" w:ascii="仿宋_GB2312" w:eastAsia="仿宋_GB2312"/>
          <w:sz w:val="32"/>
          <w:szCs w:val="32"/>
        </w:rPr>
        <w:t>年国家随机监督抽查计划的通知》（国卫办监督函〔20</w:t>
      </w:r>
      <w:r>
        <w:rPr>
          <w:rFonts w:ascii="仿宋_GB2312" w:eastAsia="仿宋_GB2312"/>
          <w:sz w:val="32"/>
          <w:szCs w:val="32"/>
        </w:rPr>
        <w:t>20</w:t>
      </w:r>
      <w:r>
        <w:rPr>
          <w:rFonts w:hint="eastAsia" w:ascii="仿宋_GB2312" w:eastAsia="仿宋_GB2312"/>
          <w:sz w:val="32"/>
          <w:szCs w:val="32"/>
        </w:rPr>
        <w:t>〕</w:t>
      </w:r>
      <w:r>
        <w:rPr>
          <w:rFonts w:ascii="仿宋_GB2312" w:eastAsia="仿宋_GB2312"/>
          <w:sz w:val="32"/>
          <w:szCs w:val="32"/>
        </w:rPr>
        <w:t>262</w:t>
      </w:r>
      <w:r>
        <w:rPr>
          <w:rFonts w:hint="eastAsia" w:ascii="仿宋_GB2312" w:eastAsia="仿宋_GB2312"/>
          <w:sz w:val="32"/>
          <w:szCs w:val="32"/>
        </w:rPr>
        <w:t>号）工作要求，结合我市工作实际，制定以下工作方案：</w:t>
      </w:r>
    </w:p>
    <w:p>
      <w:pPr>
        <w:pStyle w:val="34"/>
        <w:widowControl/>
        <w:numPr>
          <w:ilvl w:val="0"/>
          <w:numId w:val="1"/>
        </w:numPr>
        <w:adjustRightInd w:val="0"/>
        <w:snapToGrid w:val="0"/>
        <w:spacing w:line="336" w:lineRule="auto"/>
        <w:ind w:firstLineChars="0"/>
        <w:jc w:val="left"/>
        <w:rPr>
          <w:rFonts w:ascii="黑体" w:hAnsi="黑体" w:eastAsia="黑体"/>
          <w:sz w:val="32"/>
          <w:szCs w:val="32"/>
        </w:rPr>
      </w:pPr>
      <w:r>
        <w:rPr>
          <w:rFonts w:hint="eastAsia" w:ascii="黑体" w:hAnsi="黑体" w:eastAsia="黑体"/>
          <w:sz w:val="32"/>
          <w:szCs w:val="32"/>
        </w:rPr>
        <w:t>工作内容</w:t>
      </w:r>
    </w:p>
    <w:p>
      <w:pPr>
        <w:widowControl/>
        <w:adjustRightInd w:val="0"/>
        <w:snapToGrid w:val="0"/>
        <w:spacing w:line="336" w:lineRule="auto"/>
        <w:jc w:val="left"/>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一般血站（血液中心、中心血站、中心血库）、</w:t>
      </w:r>
      <w:r>
        <w:rPr>
          <w:rFonts w:ascii="仿宋_GB2312" w:eastAsia="仿宋_GB2312"/>
          <w:color w:val="auto"/>
          <w:sz w:val="32"/>
          <w:szCs w:val="32"/>
        </w:rPr>
        <w:t>特殊血站（</w:t>
      </w:r>
      <w:r>
        <w:rPr>
          <w:rFonts w:hint="eastAsia" w:ascii="仿宋_GB2312" w:eastAsia="仿宋_GB2312"/>
          <w:color w:val="auto"/>
          <w:sz w:val="32"/>
          <w:szCs w:val="32"/>
        </w:rPr>
        <w:t>脐带血</w:t>
      </w:r>
      <w:r>
        <w:rPr>
          <w:rFonts w:ascii="仿宋_GB2312" w:eastAsia="仿宋_GB2312"/>
          <w:color w:val="auto"/>
          <w:sz w:val="32"/>
          <w:szCs w:val="32"/>
        </w:rPr>
        <w:t>造血干细胞库）</w:t>
      </w:r>
      <w:r>
        <w:rPr>
          <w:rFonts w:hint="eastAsia" w:ascii="仿宋_GB2312" w:eastAsia="仿宋_GB2312"/>
          <w:color w:val="auto"/>
          <w:sz w:val="32"/>
          <w:szCs w:val="32"/>
        </w:rPr>
        <w:t>。检查资质情况、血源管理情况、血液检测情况、包装储存供应情况、检查医疗废物处理情况等。</w:t>
      </w:r>
      <w:r>
        <w:rPr>
          <w:rFonts w:hint="eastAsia" w:ascii="仿宋_GB2312" w:eastAsia="仿宋_GB2312"/>
          <w:sz w:val="32"/>
          <w:szCs w:val="32"/>
        </w:rPr>
        <w:t xml:space="preserve"> </w:t>
      </w:r>
    </w:p>
    <w:p>
      <w:pPr>
        <w:widowControl/>
        <w:adjustRightInd w:val="0"/>
        <w:snapToGrid w:val="0"/>
        <w:spacing w:line="336" w:lineRule="auto"/>
        <w:ind w:firstLine="640" w:firstLineChars="200"/>
        <w:jc w:val="left"/>
        <w:rPr>
          <w:rFonts w:ascii="黑体" w:hAnsi="黑体" w:eastAsia="黑体"/>
          <w:sz w:val="32"/>
          <w:szCs w:val="32"/>
        </w:rPr>
      </w:pPr>
      <w:r>
        <w:rPr>
          <w:rFonts w:hint="eastAsia" w:ascii="黑体" w:hAnsi="黑体" w:eastAsia="黑体"/>
          <w:sz w:val="32"/>
          <w:szCs w:val="32"/>
        </w:rPr>
        <w:t>二、工作要求</w:t>
      </w:r>
    </w:p>
    <w:p>
      <w:pPr>
        <w:widowControl/>
        <w:adjustRightInd w:val="0"/>
        <w:snapToGrid w:val="0"/>
        <w:spacing w:line="336" w:lineRule="auto"/>
        <w:ind w:firstLine="640" w:firstLineChars="200"/>
        <w:jc w:val="left"/>
        <w:rPr>
          <w:rFonts w:ascii="仿宋_GB2312" w:eastAsia="仿宋_GB2312"/>
          <w:sz w:val="32"/>
          <w:szCs w:val="32"/>
        </w:rPr>
      </w:pPr>
      <w:r>
        <w:rPr>
          <w:rFonts w:hint="eastAsia" w:ascii="仿宋_GB2312" w:eastAsia="仿宋_GB2312"/>
          <w:sz w:val="32"/>
          <w:szCs w:val="32"/>
        </w:rPr>
        <w:t>（一）各区卫生健</w:t>
      </w:r>
      <w:r>
        <w:rPr>
          <w:rFonts w:ascii="仿宋_GB2312" w:eastAsia="仿宋_GB2312"/>
          <w:sz w:val="32"/>
          <w:szCs w:val="32"/>
        </w:rPr>
        <w:t>康</w:t>
      </w:r>
      <w:r>
        <w:rPr>
          <w:rFonts w:hint="eastAsia" w:ascii="仿宋_GB2312" w:eastAsia="仿宋_GB2312"/>
          <w:sz w:val="32"/>
          <w:szCs w:val="32"/>
        </w:rPr>
        <w:t>监督机构要从切实维护广大人民群众健康权益的高度出发，充分重视国家及北京市随机监督抽查工作，切实加强领导，明确责任，确保随机监督抽查工作落到实处，取得实效。</w:t>
      </w:r>
    </w:p>
    <w:p>
      <w:pPr>
        <w:widowControl/>
        <w:adjustRightInd w:val="0"/>
        <w:snapToGrid w:val="0"/>
        <w:spacing w:line="336" w:lineRule="auto"/>
        <w:ind w:firstLine="640" w:firstLineChars="200"/>
        <w:jc w:val="left"/>
        <w:rPr>
          <w:rFonts w:ascii="仿宋_GB2312" w:eastAsia="仿宋_GB2312"/>
          <w:sz w:val="32"/>
          <w:szCs w:val="32"/>
        </w:rPr>
      </w:pPr>
      <w:r>
        <w:rPr>
          <w:rFonts w:hint="eastAsia" w:ascii="仿宋_GB2312" w:eastAsia="仿宋_GB2312"/>
          <w:sz w:val="32"/>
          <w:szCs w:val="32"/>
        </w:rPr>
        <w:t>（二）各区卫生健</w:t>
      </w:r>
      <w:r>
        <w:rPr>
          <w:rFonts w:ascii="仿宋_GB2312" w:eastAsia="仿宋_GB2312"/>
          <w:sz w:val="32"/>
          <w:szCs w:val="32"/>
        </w:rPr>
        <w:t>康</w:t>
      </w:r>
      <w:r>
        <w:rPr>
          <w:rFonts w:hint="eastAsia" w:ascii="仿宋_GB2312" w:eastAsia="仿宋_GB2312"/>
          <w:sz w:val="32"/>
          <w:szCs w:val="32"/>
        </w:rPr>
        <w:t>监督机构要严格按照国家法律法规、标准和规范要求，开展随机监督抽查工作，加强培训，制定方案，将随机监督抽查作为日常监督工作量的一部分统筹安排。发现违法行为符合立案条件的，要坚决立案查处，维护随机监督抽查的严肃性。</w:t>
      </w:r>
    </w:p>
    <w:p>
      <w:pPr>
        <w:widowControl/>
        <w:adjustRightInd w:val="0"/>
        <w:snapToGrid w:val="0"/>
        <w:spacing w:line="336" w:lineRule="auto"/>
        <w:ind w:firstLine="640" w:firstLineChars="200"/>
        <w:rPr>
          <w:rFonts w:ascii="仿宋_GB2312" w:eastAsia="仿宋_GB2312"/>
          <w:sz w:val="32"/>
          <w:szCs w:val="32"/>
        </w:rPr>
      </w:pPr>
      <w:r>
        <w:rPr>
          <w:rFonts w:hint="eastAsia" w:ascii="仿宋_GB2312" w:eastAsia="仿宋_GB2312"/>
          <w:sz w:val="32"/>
          <w:szCs w:val="32"/>
        </w:rPr>
        <w:t>（三）各区卫生健康监督机构要按照2020年采供血机构国家随机监督抽查工作计划表（见附表1）要求，完成抽查任务。</w:t>
      </w:r>
    </w:p>
    <w:p>
      <w:pPr>
        <w:widowControl/>
        <w:adjustRightInd w:val="0"/>
        <w:snapToGrid w:val="0"/>
        <w:spacing w:line="336" w:lineRule="auto"/>
        <w:ind w:firstLine="640" w:firstLineChars="200"/>
        <w:rPr>
          <w:rFonts w:ascii="仿宋_GB2312" w:eastAsia="仿宋_GB2312"/>
          <w:sz w:val="32"/>
          <w:szCs w:val="32"/>
        </w:rPr>
      </w:pPr>
      <w:r>
        <w:rPr>
          <w:rFonts w:hint="eastAsia" w:ascii="仿宋_GB2312" w:eastAsia="仿宋_GB2312"/>
          <w:sz w:val="32"/>
          <w:szCs w:val="32"/>
        </w:rPr>
        <w:t>（四）各区</w:t>
      </w:r>
      <w:r>
        <w:rPr>
          <w:rFonts w:ascii="仿宋_GB2312" w:eastAsia="仿宋_GB2312"/>
          <w:sz w:val="32"/>
          <w:szCs w:val="32"/>
        </w:rPr>
        <w:t>卫生</w:t>
      </w:r>
      <w:r>
        <w:rPr>
          <w:rFonts w:hint="eastAsia" w:ascii="仿宋_GB2312" w:eastAsia="仿宋_GB2312"/>
          <w:sz w:val="32"/>
          <w:szCs w:val="32"/>
        </w:rPr>
        <w:t>健</w:t>
      </w:r>
      <w:r>
        <w:rPr>
          <w:rFonts w:ascii="仿宋_GB2312" w:eastAsia="仿宋_GB2312"/>
          <w:sz w:val="32"/>
          <w:szCs w:val="32"/>
        </w:rPr>
        <w:t>康监督机构</w:t>
      </w:r>
      <w:r>
        <w:rPr>
          <w:rFonts w:hint="eastAsia" w:ascii="仿宋_GB2312" w:eastAsia="仿宋_GB2312"/>
          <w:sz w:val="32"/>
          <w:szCs w:val="32"/>
        </w:rPr>
        <w:t>请</w:t>
      </w:r>
      <w:r>
        <w:rPr>
          <w:rFonts w:ascii="仿宋_GB2312" w:eastAsia="仿宋_GB2312"/>
          <w:sz w:val="32"/>
          <w:szCs w:val="32"/>
        </w:rPr>
        <w:t>及时公开和上报</w:t>
      </w:r>
      <w:r>
        <w:rPr>
          <w:rFonts w:hint="eastAsia" w:ascii="仿宋_GB2312" w:eastAsia="仿宋_GB2312"/>
          <w:sz w:val="32"/>
          <w:szCs w:val="32"/>
        </w:rPr>
        <w:t>随机</w:t>
      </w:r>
      <w:r>
        <w:rPr>
          <w:rFonts w:ascii="仿宋_GB2312" w:eastAsia="仿宋_GB2312"/>
          <w:sz w:val="32"/>
          <w:szCs w:val="32"/>
        </w:rPr>
        <w:t>监督抽查结果</w:t>
      </w:r>
      <w:r>
        <w:rPr>
          <w:rFonts w:hint="eastAsia" w:ascii="仿宋_GB2312" w:eastAsia="仿宋_GB2312"/>
          <w:sz w:val="32"/>
          <w:szCs w:val="32"/>
        </w:rPr>
        <w:t>，抽查结果</w:t>
      </w:r>
      <w:r>
        <w:rPr>
          <w:rFonts w:ascii="仿宋_GB2312" w:eastAsia="仿宋_GB2312"/>
          <w:sz w:val="32"/>
          <w:szCs w:val="32"/>
        </w:rPr>
        <w:t>信息包括：抽查未发现问题、发现问题已</w:t>
      </w:r>
      <w:r>
        <w:rPr>
          <w:rFonts w:hint="eastAsia" w:ascii="仿宋_GB2312" w:eastAsia="仿宋_GB2312"/>
          <w:sz w:val="32"/>
          <w:szCs w:val="32"/>
        </w:rPr>
        <w:t>责令改正</w:t>
      </w:r>
      <w:r>
        <w:rPr>
          <w:rFonts w:ascii="仿宋_GB2312" w:eastAsia="仿宋_GB2312"/>
          <w:sz w:val="32"/>
          <w:szCs w:val="32"/>
        </w:rPr>
        <w:t>、行政处罚、无法联系</w:t>
      </w:r>
      <w:r>
        <w:rPr>
          <w:rFonts w:hint="eastAsia" w:ascii="仿宋_GB2312" w:eastAsia="仿宋_GB2312"/>
          <w:sz w:val="32"/>
          <w:szCs w:val="32"/>
        </w:rPr>
        <w:t>（检查</w:t>
      </w:r>
      <w:r>
        <w:rPr>
          <w:rFonts w:ascii="仿宋_GB2312" w:eastAsia="仿宋_GB2312"/>
          <w:sz w:val="32"/>
          <w:szCs w:val="32"/>
        </w:rPr>
        <w:t>时</w:t>
      </w:r>
      <w:r>
        <w:rPr>
          <w:rFonts w:hint="eastAsia" w:ascii="仿宋_GB2312" w:eastAsia="仿宋_GB2312"/>
          <w:sz w:val="32"/>
          <w:szCs w:val="32"/>
        </w:rPr>
        <w:t>单位</w:t>
      </w:r>
      <w:r>
        <w:rPr>
          <w:rFonts w:ascii="仿宋_GB2312" w:eastAsia="仿宋_GB2312"/>
          <w:sz w:val="32"/>
          <w:szCs w:val="32"/>
        </w:rPr>
        <w:t>已</w:t>
      </w:r>
      <w:r>
        <w:rPr>
          <w:rFonts w:hint="eastAsia" w:ascii="仿宋_GB2312" w:eastAsia="仿宋_GB2312"/>
          <w:sz w:val="32"/>
          <w:szCs w:val="32"/>
        </w:rPr>
        <w:t>关闭</w:t>
      </w:r>
      <w:r>
        <w:rPr>
          <w:rFonts w:ascii="仿宋_GB2312" w:eastAsia="仿宋_GB2312"/>
          <w:sz w:val="32"/>
          <w:szCs w:val="32"/>
        </w:rPr>
        <w:t>、</w:t>
      </w:r>
      <w:r>
        <w:rPr>
          <w:rFonts w:hint="eastAsia" w:ascii="仿宋_GB2312" w:eastAsia="仿宋_GB2312"/>
          <w:sz w:val="32"/>
          <w:szCs w:val="32"/>
        </w:rPr>
        <w:t>行政</w:t>
      </w:r>
      <w:r>
        <w:rPr>
          <w:rFonts w:ascii="仿宋_GB2312" w:eastAsia="仿宋_GB2312"/>
          <w:sz w:val="32"/>
          <w:szCs w:val="32"/>
        </w:rPr>
        <w:t>执法文书送达不到未履行未结案等情形</w:t>
      </w:r>
      <w:r>
        <w:rPr>
          <w:rFonts w:hint="eastAsia" w:ascii="仿宋_GB2312" w:eastAsia="仿宋_GB2312"/>
          <w:sz w:val="32"/>
          <w:szCs w:val="32"/>
        </w:rPr>
        <w:t>）</w:t>
      </w:r>
      <w:r>
        <w:rPr>
          <w:rFonts w:ascii="仿宋_GB2312" w:eastAsia="仿宋_GB2312"/>
          <w:sz w:val="32"/>
          <w:szCs w:val="32"/>
        </w:rPr>
        <w:t>等</w:t>
      </w:r>
      <w:r>
        <w:rPr>
          <w:rFonts w:hint="eastAsia" w:ascii="仿宋_GB2312" w:eastAsia="仿宋_GB2312"/>
          <w:sz w:val="32"/>
          <w:szCs w:val="32"/>
        </w:rPr>
        <w:t>4类。</w:t>
      </w:r>
    </w:p>
    <w:p>
      <w:pPr>
        <w:widowControl/>
        <w:adjustRightInd w:val="0"/>
        <w:snapToGrid w:val="0"/>
        <w:spacing w:line="336" w:lineRule="auto"/>
        <w:ind w:firstLine="640" w:firstLineChars="200"/>
        <w:rPr>
          <w:rFonts w:ascii="仿宋_GB2312" w:eastAsia="仿宋_GB2312"/>
          <w:sz w:val="32"/>
          <w:szCs w:val="32"/>
        </w:rPr>
      </w:pPr>
      <w:r>
        <w:rPr>
          <w:rFonts w:hint="eastAsia" w:ascii="仿宋_GB2312" w:eastAsia="仿宋_GB2312"/>
          <w:sz w:val="32"/>
          <w:szCs w:val="32"/>
        </w:rPr>
        <w:t>（五）各区卫生健</w:t>
      </w:r>
      <w:r>
        <w:rPr>
          <w:rFonts w:ascii="仿宋_GB2312" w:eastAsia="仿宋_GB2312"/>
          <w:sz w:val="32"/>
          <w:szCs w:val="32"/>
        </w:rPr>
        <w:t>康</w:t>
      </w:r>
      <w:r>
        <w:rPr>
          <w:rFonts w:hint="eastAsia" w:ascii="仿宋_GB2312" w:eastAsia="仿宋_GB2312"/>
          <w:sz w:val="32"/>
          <w:szCs w:val="32"/>
        </w:rPr>
        <w:t>监督机构负责</w:t>
      </w:r>
      <w:r>
        <w:rPr>
          <w:rFonts w:ascii="仿宋_GB2312" w:eastAsia="仿宋_GB2312"/>
          <w:sz w:val="32"/>
          <w:szCs w:val="32"/>
        </w:rPr>
        <w:t>对辖区的数据信息（</w:t>
      </w:r>
      <w:r>
        <w:rPr>
          <w:rFonts w:hint="eastAsia" w:ascii="仿宋_GB2312" w:eastAsia="仿宋_GB2312"/>
          <w:sz w:val="32"/>
          <w:szCs w:val="32"/>
        </w:rPr>
        <w:t>以信息系统填报数据为准</w:t>
      </w:r>
      <w:r>
        <w:rPr>
          <w:rFonts w:ascii="仿宋_GB2312" w:eastAsia="仿宋_GB2312"/>
          <w:sz w:val="32"/>
          <w:szCs w:val="32"/>
        </w:rPr>
        <w:t>）</w:t>
      </w:r>
      <w:r>
        <w:rPr>
          <w:rFonts w:hint="eastAsia" w:ascii="仿宋_GB2312" w:eastAsia="仿宋_GB2312"/>
          <w:sz w:val="32"/>
          <w:szCs w:val="32"/>
        </w:rPr>
        <w:t>进行</w:t>
      </w:r>
      <w:r>
        <w:rPr>
          <w:rFonts w:ascii="仿宋_GB2312" w:eastAsia="仿宋_GB2312"/>
          <w:sz w:val="32"/>
          <w:szCs w:val="32"/>
        </w:rPr>
        <w:t>汇总统计</w:t>
      </w:r>
      <w:r>
        <w:rPr>
          <w:rFonts w:hint="eastAsia" w:ascii="仿宋_GB2312" w:eastAsia="仿宋_GB2312"/>
          <w:sz w:val="32"/>
          <w:szCs w:val="32"/>
        </w:rPr>
        <w:t>（见</w:t>
      </w:r>
      <w:r>
        <w:rPr>
          <w:rFonts w:ascii="仿宋_GB2312" w:eastAsia="仿宋_GB2312"/>
          <w:sz w:val="32"/>
          <w:szCs w:val="32"/>
        </w:rPr>
        <w:t>附表</w:t>
      </w:r>
      <w:r>
        <w:rPr>
          <w:rFonts w:hint="eastAsia" w:ascii="仿宋_GB2312" w:eastAsia="仿宋_GB2312"/>
          <w:sz w:val="32"/>
          <w:szCs w:val="32"/>
          <w:lang w:val="en-US" w:eastAsia="zh-CN"/>
        </w:rPr>
        <w:t>2</w:t>
      </w:r>
      <w:r>
        <w:rPr>
          <w:rFonts w:hint="eastAsia" w:ascii="仿宋_GB2312" w:eastAsia="仿宋_GB2312"/>
          <w:sz w:val="32"/>
          <w:szCs w:val="32"/>
        </w:rPr>
        <w:t>）</w:t>
      </w:r>
      <w:r>
        <w:rPr>
          <w:rFonts w:ascii="仿宋_GB2312" w:eastAsia="仿宋_GB2312"/>
          <w:sz w:val="32"/>
          <w:szCs w:val="32"/>
        </w:rPr>
        <w:t>，并对统计结果进行分析，</w:t>
      </w:r>
      <w:r>
        <w:rPr>
          <w:rFonts w:hint="eastAsia" w:ascii="仿宋_GB2312" w:eastAsia="仿宋_GB2312"/>
          <w:sz w:val="32"/>
          <w:szCs w:val="32"/>
        </w:rPr>
        <w:t>并</w:t>
      </w:r>
      <w:r>
        <w:rPr>
          <w:rFonts w:hint="eastAsia" w:ascii="仿宋_GB2312" w:eastAsia="仿宋_GB2312"/>
          <w:color w:val="auto"/>
          <w:sz w:val="32"/>
          <w:szCs w:val="32"/>
        </w:rPr>
        <w:t>于2020年11月</w:t>
      </w:r>
      <w:r>
        <w:rPr>
          <w:rFonts w:ascii="仿宋_GB2312" w:eastAsia="仿宋_GB2312"/>
          <w:color w:val="auto"/>
          <w:sz w:val="32"/>
          <w:szCs w:val="32"/>
        </w:rPr>
        <w:t>15</w:t>
      </w:r>
      <w:r>
        <w:rPr>
          <w:rFonts w:hint="eastAsia" w:ascii="仿宋_GB2312" w:eastAsia="仿宋_GB2312"/>
          <w:color w:val="auto"/>
          <w:sz w:val="32"/>
          <w:szCs w:val="32"/>
        </w:rPr>
        <w:t>日前将</w:t>
      </w:r>
      <w:r>
        <w:rPr>
          <w:rFonts w:hint="eastAsia" w:ascii="仿宋_GB2312" w:eastAsia="仿宋_GB2312"/>
          <w:sz w:val="32"/>
          <w:szCs w:val="32"/>
        </w:rPr>
        <w:t>全年情况报告（包括问题、经验、建议等）发送至wsjdsyk@wjw.beijing.gov.cn。</w:t>
      </w:r>
    </w:p>
    <w:p>
      <w:pPr>
        <w:widowControl/>
        <w:adjustRightInd w:val="0"/>
        <w:snapToGrid w:val="0"/>
        <w:spacing w:line="336" w:lineRule="auto"/>
        <w:ind w:firstLine="640" w:firstLineChars="200"/>
        <w:rPr>
          <w:rFonts w:ascii="仿宋_GB2312" w:eastAsia="仿宋_GB2312"/>
          <w:sz w:val="32"/>
          <w:szCs w:val="32"/>
        </w:rPr>
      </w:pPr>
      <w:r>
        <w:rPr>
          <w:rFonts w:hint="eastAsia" w:ascii="仿宋_GB2312" w:eastAsia="仿宋_GB2312"/>
          <w:sz w:val="32"/>
          <w:szCs w:val="32"/>
        </w:rPr>
        <w:t>执行</w:t>
      </w:r>
      <w:r>
        <w:rPr>
          <w:rFonts w:ascii="仿宋_GB2312" w:eastAsia="仿宋_GB2312"/>
          <w:sz w:val="32"/>
          <w:szCs w:val="32"/>
        </w:rPr>
        <w:t>中如有问题请及时与我所联系。</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联系人及电</w:t>
      </w:r>
      <w:r>
        <w:rPr>
          <w:rFonts w:ascii="仿宋_GB2312" w:eastAsia="仿宋_GB2312"/>
          <w:sz w:val="32"/>
          <w:szCs w:val="32"/>
        </w:rPr>
        <w:t>话</w:t>
      </w:r>
      <w:r>
        <w:rPr>
          <w:rFonts w:hint="eastAsia" w:ascii="仿宋_GB2312" w:eastAsia="仿宋_GB2312"/>
          <w:sz w:val="32"/>
          <w:szCs w:val="32"/>
        </w:rPr>
        <w:t>：</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市</w:t>
      </w:r>
      <w:r>
        <w:rPr>
          <w:rFonts w:ascii="仿宋_GB2312" w:eastAsia="仿宋_GB2312"/>
          <w:sz w:val="32"/>
          <w:szCs w:val="32"/>
        </w:rPr>
        <w:t>卫生</w:t>
      </w:r>
      <w:r>
        <w:rPr>
          <w:rFonts w:hint="eastAsia" w:ascii="仿宋_GB2312" w:eastAsia="仿宋_GB2312"/>
          <w:sz w:val="32"/>
          <w:szCs w:val="32"/>
        </w:rPr>
        <w:t>健康</w:t>
      </w:r>
      <w:r>
        <w:rPr>
          <w:rFonts w:ascii="仿宋_GB2312" w:eastAsia="仿宋_GB2312"/>
          <w:sz w:val="32"/>
          <w:szCs w:val="32"/>
        </w:rPr>
        <w:t>监督所</w:t>
      </w:r>
      <w:r>
        <w:rPr>
          <w:rFonts w:hint="eastAsia" w:ascii="仿宋_GB2312" w:eastAsia="仿宋_GB2312"/>
          <w:sz w:val="32"/>
          <w:szCs w:val="32"/>
        </w:rPr>
        <w:t xml:space="preserve"> </w:t>
      </w:r>
      <w:r>
        <w:rPr>
          <w:rFonts w:ascii="仿宋_GB2312" w:eastAsia="仿宋_GB2312"/>
          <w:sz w:val="32"/>
          <w:szCs w:val="32"/>
        </w:rPr>
        <w:t>徐娜</w:t>
      </w:r>
      <w:r>
        <w:rPr>
          <w:rFonts w:hint="eastAsia" w:ascii="仿宋_GB2312" w:eastAsia="仿宋_GB2312"/>
          <w:sz w:val="32"/>
          <w:szCs w:val="32"/>
        </w:rPr>
        <w:t xml:space="preserve">  </w:t>
      </w:r>
      <w:r>
        <w:rPr>
          <w:rFonts w:ascii="仿宋_GB2312" w:hAnsi="Calibri" w:eastAsia="仿宋_GB2312"/>
          <w:sz w:val="32"/>
          <w:szCs w:val="32"/>
        </w:rPr>
        <w:t>83366852</w:t>
      </w:r>
    </w:p>
    <w:p>
      <w:pPr>
        <w:spacing w:line="360" w:lineRule="auto"/>
        <w:ind w:firstLine="640" w:firstLineChars="200"/>
        <w:rPr>
          <w:rFonts w:ascii="仿宋_GB2312" w:hAnsi="Calibri" w:eastAsia="仿宋_GB2312"/>
          <w:sz w:val="32"/>
          <w:szCs w:val="32"/>
        </w:rPr>
      </w:pPr>
    </w:p>
    <w:p>
      <w:pPr>
        <w:spacing w:line="360" w:lineRule="auto"/>
        <w:ind w:firstLine="640" w:firstLineChars="200"/>
        <w:rPr>
          <w:rFonts w:ascii="仿宋_GB2312" w:hAnsi="Calibri" w:eastAsia="仿宋_GB2312"/>
          <w:sz w:val="32"/>
          <w:szCs w:val="32"/>
        </w:rPr>
      </w:pPr>
      <w:r>
        <w:rPr>
          <w:rFonts w:hint="eastAsia" w:ascii="仿宋_GB2312" w:hAnsi="Calibri" w:eastAsia="仿宋_GB2312"/>
          <w:sz w:val="32"/>
          <w:szCs w:val="32"/>
        </w:rPr>
        <w:t>附表:1.20</w:t>
      </w:r>
      <w:r>
        <w:rPr>
          <w:rFonts w:ascii="仿宋_GB2312" w:hAnsi="Calibri" w:eastAsia="仿宋_GB2312"/>
          <w:sz w:val="32"/>
          <w:szCs w:val="32"/>
        </w:rPr>
        <w:t>20</w:t>
      </w:r>
      <w:r>
        <w:rPr>
          <w:rFonts w:hint="eastAsia" w:ascii="仿宋_GB2312" w:hAnsi="Calibri" w:eastAsia="仿宋_GB2312"/>
          <w:sz w:val="32"/>
          <w:szCs w:val="32"/>
        </w:rPr>
        <w:t>年采供血机构国家</w:t>
      </w:r>
      <w:r>
        <w:rPr>
          <w:rFonts w:ascii="仿宋_GB2312" w:hAnsi="Calibri" w:eastAsia="仿宋_GB2312"/>
          <w:sz w:val="32"/>
          <w:szCs w:val="32"/>
        </w:rPr>
        <w:t>随机</w:t>
      </w:r>
      <w:r>
        <w:rPr>
          <w:rFonts w:hint="eastAsia" w:ascii="仿宋_GB2312" w:hAnsi="Calibri" w:eastAsia="仿宋_GB2312"/>
          <w:sz w:val="32"/>
          <w:szCs w:val="32"/>
        </w:rPr>
        <w:t>监督抽</w:t>
      </w:r>
      <w:r>
        <w:rPr>
          <w:rFonts w:ascii="仿宋_GB2312" w:hAnsi="Calibri" w:eastAsia="仿宋_GB2312"/>
          <w:sz w:val="32"/>
          <w:szCs w:val="32"/>
        </w:rPr>
        <w:t>查</w:t>
      </w:r>
      <w:r>
        <w:rPr>
          <w:rFonts w:hint="eastAsia" w:ascii="仿宋_GB2312" w:hAnsi="Calibri" w:eastAsia="仿宋_GB2312"/>
          <w:sz w:val="32"/>
          <w:szCs w:val="32"/>
        </w:rPr>
        <w:t>工作计划表</w:t>
      </w:r>
    </w:p>
    <w:p>
      <w:pPr>
        <w:spacing w:line="360" w:lineRule="auto"/>
        <w:ind w:firstLine="1440" w:firstLineChars="450"/>
        <w:rPr>
          <w:rFonts w:ascii="仿宋_GB2312" w:hAnsi="Calibri" w:eastAsia="仿宋_GB2312"/>
          <w:sz w:val="32"/>
          <w:szCs w:val="32"/>
        </w:rPr>
      </w:pPr>
      <w:r>
        <w:rPr>
          <w:rFonts w:hint="eastAsia" w:ascii="仿宋_GB2312" w:hAnsi="Calibri" w:eastAsia="仿宋_GB2312"/>
          <w:sz w:val="32"/>
          <w:szCs w:val="32"/>
        </w:rPr>
        <w:t>2.20</w:t>
      </w:r>
      <w:r>
        <w:rPr>
          <w:rFonts w:ascii="仿宋_GB2312" w:hAnsi="Calibri" w:eastAsia="仿宋_GB2312"/>
          <w:sz w:val="32"/>
          <w:szCs w:val="32"/>
        </w:rPr>
        <w:t>20</w:t>
      </w:r>
      <w:r>
        <w:rPr>
          <w:rFonts w:hint="eastAsia" w:ascii="仿宋_GB2312" w:hAnsi="Calibri" w:eastAsia="仿宋_GB2312"/>
          <w:sz w:val="32"/>
          <w:szCs w:val="32"/>
        </w:rPr>
        <w:t>年采供血机构国家随机</w:t>
      </w:r>
      <w:r>
        <w:rPr>
          <w:rFonts w:ascii="仿宋_GB2312" w:hAnsi="Calibri" w:eastAsia="仿宋_GB2312"/>
          <w:sz w:val="32"/>
          <w:szCs w:val="32"/>
        </w:rPr>
        <w:t>监督抽查汇总表</w:t>
      </w:r>
    </w:p>
    <w:p>
      <w:pPr>
        <w:spacing w:line="360" w:lineRule="auto"/>
        <w:ind w:firstLine="1600" w:firstLineChars="500"/>
        <w:rPr>
          <w:rFonts w:ascii="仿宋_GB2312" w:hAnsi="Calibri" w:eastAsia="仿宋_GB2312"/>
          <w:sz w:val="32"/>
          <w:szCs w:val="32"/>
        </w:rPr>
      </w:pPr>
    </w:p>
    <w:p>
      <w:pPr>
        <w:spacing w:line="360" w:lineRule="auto"/>
        <w:ind w:firstLine="1600" w:firstLineChars="500"/>
        <w:rPr>
          <w:rFonts w:ascii="仿宋_GB2312" w:hAnsi="Calibri" w:eastAsia="仿宋_GB2312"/>
          <w:sz w:val="32"/>
          <w:szCs w:val="32"/>
        </w:rPr>
      </w:pPr>
    </w:p>
    <w:p>
      <w:pPr>
        <w:spacing w:line="360" w:lineRule="auto"/>
        <w:ind w:firstLine="1600" w:firstLineChars="500"/>
        <w:rPr>
          <w:rFonts w:ascii="仿宋_GB2312" w:hAnsi="Calibri" w:eastAsia="仿宋_GB2312"/>
          <w:sz w:val="32"/>
          <w:szCs w:val="32"/>
        </w:rPr>
      </w:pPr>
    </w:p>
    <w:p>
      <w:pPr>
        <w:spacing w:line="360" w:lineRule="auto"/>
        <w:ind w:firstLine="1600" w:firstLineChars="500"/>
        <w:rPr>
          <w:rFonts w:ascii="仿宋_GB2312" w:hAnsi="Calibri" w:eastAsia="仿宋_GB2312"/>
          <w:sz w:val="32"/>
          <w:szCs w:val="32"/>
        </w:rPr>
      </w:pPr>
    </w:p>
    <w:p>
      <w:pPr>
        <w:spacing w:line="360" w:lineRule="auto"/>
        <w:ind w:firstLine="1600" w:firstLineChars="500"/>
        <w:rPr>
          <w:rFonts w:ascii="仿宋_GB2312" w:hAnsi="Calibri" w:eastAsia="仿宋_GB2312"/>
          <w:sz w:val="32"/>
          <w:szCs w:val="32"/>
        </w:rPr>
      </w:pPr>
    </w:p>
    <w:p>
      <w:pPr>
        <w:spacing w:line="360" w:lineRule="auto"/>
        <w:ind w:firstLine="1600" w:firstLineChars="500"/>
        <w:rPr>
          <w:rFonts w:ascii="仿宋_GB2312" w:hAnsi="Calibri" w:eastAsia="仿宋_GB2312"/>
          <w:sz w:val="32"/>
          <w:szCs w:val="32"/>
        </w:rPr>
      </w:pPr>
    </w:p>
    <w:p>
      <w:pPr>
        <w:spacing w:line="360" w:lineRule="auto"/>
        <w:ind w:firstLine="1600" w:firstLineChars="500"/>
        <w:rPr>
          <w:rFonts w:ascii="仿宋_GB2312" w:hAnsi="Calibri" w:eastAsia="仿宋_GB2312"/>
          <w:sz w:val="32"/>
          <w:szCs w:val="32"/>
        </w:rPr>
      </w:pPr>
    </w:p>
    <w:p>
      <w:pPr>
        <w:spacing w:line="360" w:lineRule="auto"/>
        <w:ind w:firstLine="1600" w:firstLineChars="500"/>
        <w:rPr>
          <w:rFonts w:ascii="仿宋_GB2312" w:hAnsi="Calibri" w:eastAsia="仿宋_GB2312"/>
          <w:sz w:val="32"/>
          <w:szCs w:val="32"/>
        </w:rPr>
      </w:pPr>
    </w:p>
    <w:p>
      <w:pPr>
        <w:spacing w:line="360" w:lineRule="auto"/>
        <w:rPr>
          <w:rFonts w:ascii="仿宋_GB2312" w:hAnsi="Calibri" w:eastAsia="仿宋_GB2312"/>
          <w:sz w:val="32"/>
          <w:szCs w:val="32"/>
        </w:rPr>
        <w:sectPr>
          <w:footerReference r:id="rId4" w:type="default"/>
          <w:pgSz w:w="11906" w:h="16838"/>
          <w:pgMar w:top="1797" w:right="1440" w:bottom="1797" w:left="1440" w:header="851" w:footer="992" w:gutter="0"/>
          <w:cols w:space="720" w:num="1"/>
          <w:docGrid w:linePitch="435" w:charSpace="200"/>
        </w:sectPr>
      </w:pPr>
    </w:p>
    <w:p>
      <w:pPr>
        <w:spacing w:line="360" w:lineRule="auto"/>
        <w:jc w:val="center"/>
        <w:rPr>
          <w:rFonts w:ascii="宋体" w:hAnsi="宋体"/>
          <w:b/>
          <w:sz w:val="44"/>
          <w:szCs w:val="44"/>
        </w:rPr>
      </w:pPr>
    </w:p>
    <w:p>
      <w:pPr>
        <w:spacing w:line="360" w:lineRule="auto"/>
        <w:jc w:val="left"/>
        <w:rPr>
          <w:rFonts w:ascii="黑体" w:hAnsi="黑体" w:eastAsia="黑体"/>
          <w:sz w:val="32"/>
          <w:szCs w:val="32"/>
        </w:rPr>
      </w:pPr>
      <w:r>
        <w:rPr>
          <w:rFonts w:hint="eastAsia" w:ascii="仿宋" w:hAnsi="仿宋" w:eastAsia="仿宋" w:cs="仿宋"/>
          <w:sz w:val="32"/>
          <w:szCs w:val="32"/>
        </w:rPr>
        <w:t>附表1</w:t>
      </w:r>
    </w:p>
    <w:p>
      <w:pPr>
        <w:spacing w:line="360" w:lineRule="auto"/>
        <w:jc w:val="center"/>
        <w:rPr>
          <w:rFonts w:ascii="宋体" w:hAnsi="宋体"/>
          <w:b/>
          <w:sz w:val="36"/>
          <w:szCs w:val="36"/>
        </w:rPr>
      </w:pPr>
      <w:bookmarkStart w:id="0" w:name="_GoBack"/>
      <w:r>
        <w:rPr>
          <w:rFonts w:hint="eastAsia" w:ascii="宋体" w:hAnsi="宋体"/>
          <w:b/>
          <w:sz w:val="36"/>
          <w:szCs w:val="36"/>
        </w:rPr>
        <w:t>20</w:t>
      </w:r>
      <w:r>
        <w:rPr>
          <w:rFonts w:ascii="宋体" w:hAnsi="宋体"/>
          <w:b/>
          <w:sz w:val="36"/>
          <w:szCs w:val="36"/>
        </w:rPr>
        <w:t>20</w:t>
      </w:r>
      <w:r>
        <w:rPr>
          <w:rFonts w:hint="eastAsia" w:ascii="宋体" w:hAnsi="宋体"/>
          <w:b/>
          <w:sz w:val="36"/>
          <w:szCs w:val="36"/>
        </w:rPr>
        <w:t>年采供血机构国家</w:t>
      </w:r>
      <w:r>
        <w:rPr>
          <w:rFonts w:ascii="宋体" w:hAnsi="宋体"/>
          <w:b/>
          <w:sz w:val="36"/>
          <w:szCs w:val="36"/>
        </w:rPr>
        <w:t>随机</w:t>
      </w:r>
      <w:r>
        <w:rPr>
          <w:rFonts w:hint="eastAsia" w:ascii="宋体" w:hAnsi="宋体"/>
          <w:b/>
          <w:sz w:val="36"/>
          <w:szCs w:val="36"/>
        </w:rPr>
        <w:t>监督抽</w:t>
      </w:r>
      <w:r>
        <w:rPr>
          <w:rFonts w:ascii="宋体" w:hAnsi="宋体"/>
          <w:b/>
          <w:sz w:val="36"/>
          <w:szCs w:val="36"/>
        </w:rPr>
        <w:t>查</w:t>
      </w:r>
      <w:r>
        <w:rPr>
          <w:rFonts w:hint="eastAsia" w:ascii="宋体" w:hAnsi="宋体"/>
          <w:b/>
          <w:sz w:val="36"/>
          <w:szCs w:val="36"/>
        </w:rPr>
        <w:t>工作计划表</w:t>
      </w:r>
    </w:p>
    <w:bookmarkEnd w:id="0"/>
    <w:tbl>
      <w:tblPr>
        <w:tblStyle w:val="16"/>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693"/>
        <w:gridCol w:w="1559"/>
        <w:gridCol w:w="7371"/>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ascii="仿宋_GB2312" w:eastAsia="仿宋_GB2312"/>
                <w:sz w:val="24"/>
              </w:rPr>
            </w:pPr>
            <w:r>
              <w:rPr>
                <w:rFonts w:hint="eastAsia" w:ascii="仿宋_GB2312" w:eastAsia="仿宋_GB2312"/>
                <w:sz w:val="24"/>
              </w:rPr>
              <w:t>序号</w:t>
            </w:r>
          </w:p>
        </w:tc>
        <w:tc>
          <w:tcPr>
            <w:tcW w:w="2693"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ascii="仿宋_GB2312" w:eastAsia="仿宋_GB2312"/>
                <w:sz w:val="24"/>
              </w:rPr>
            </w:pPr>
            <w:r>
              <w:rPr>
                <w:rFonts w:hint="eastAsia" w:ascii="仿宋_GB2312" w:eastAsia="仿宋_GB2312"/>
                <w:sz w:val="24"/>
              </w:rPr>
              <w:t>监督检查对象</w:t>
            </w:r>
          </w:p>
        </w:tc>
        <w:tc>
          <w:tcPr>
            <w:tcW w:w="1559"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ascii="仿宋_GB2312" w:eastAsia="仿宋_GB2312"/>
                <w:sz w:val="24"/>
              </w:rPr>
            </w:pPr>
            <w:r>
              <w:rPr>
                <w:rFonts w:hint="eastAsia" w:ascii="仿宋_GB2312" w:eastAsia="仿宋_GB2312"/>
                <w:sz w:val="24"/>
              </w:rPr>
              <w:t>抽检比例</w:t>
            </w:r>
          </w:p>
        </w:tc>
        <w:tc>
          <w:tcPr>
            <w:tcW w:w="7371"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ascii="仿宋_GB2312" w:eastAsia="仿宋_GB2312"/>
                <w:sz w:val="24"/>
              </w:rPr>
            </w:pPr>
            <w:r>
              <w:rPr>
                <w:rFonts w:hint="eastAsia" w:ascii="仿宋_GB2312" w:eastAsia="仿宋_GB2312"/>
                <w:sz w:val="24"/>
              </w:rPr>
              <w:t>检查内容</w:t>
            </w:r>
          </w:p>
        </w:tc>
        <w:tc>
          <w:tcPr>
            <w:tcW w:w="1592"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sz w:val="24"/>
              </w:rPr>
              <w:t>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ascii="仿宋_GB2312" w:eastAsia="仿宋_GB2312"/>
                <w:sz w:val="24"/>
              </w:rPr>
              <w:t>一般</w:t>
            </w:r>
            <w:r>
              <w:rPr>
                <w:rFonts w:hint="eastAsia" w:ascii="仿宋_GB2312" w:eastAsia="仿宋_GB2312"/>
                <w:sz w:val="24"/>
              </w:rPr>
              <w:t>血站</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sz w:val="24"/>
              </w:rPr>
              <w:t>100%</w:t>
            </w:r>
          </w:p>
        </w:tc>
        <w:tc>
          <w:tcPr>
            <w:tcW w:w="7371" w:type="dxa"/>
            <w:vMerge w:val="restart"/>
            <w:tcBorders>
              <w:top w:val="single" w:color="auto" w:sz="4" w:space="0"/>
              <w:left w:val="single" w:color="auto" w:sz="4" w:space="0"/>
              <w:right w:val="single" w:color="auto" w:sz="4" w:space="0"/>
            </w:tcBorders>
            <w:vAlign w:val="top"/>
          </w:tcPr>
          <w:p>
            <w:pPr>
              <w:spacing w:line="360" w:lineRule="auto"/>
              <w:rPr>
                <w:rFonts w:ascii="仿宋_GB2312" w:eastAsia="仿宋_GB2312"/>
                <w:sz w:val="24"/>
              </w:rPr>
            </w:pPr>
            <w:r>
              <w:rPr>
                <w:rFonts w:hint="eastAsia" w:ascii="仿宋_GB2312" w:eastAsia="仿宋_GB2312"/>
                <w:sz w:val="24"/>
              </w:rPr>
              <w:t>1.资质管理：按照许可范围开展工作；从业人员取得相关岗位执业资格或者执业注册而从事血液安全工作；使用符合国家规定的耗材；</w:t>
            </w:r>
          </w:p>
          <w:p>
            <w:pPr>
              <w:spacing w:line="360" w:lineRule="auto"/>
              <w:rPr>
                <w:rFonts w:ascii="仿宋_GB2312" w:eastAsia="仿宋_GB2312"/>
                <w:sz w:val="24"/>
              </w:rPr>
            </w:pPr>
            <w:r>
              <w:rPr>
                <w:rFonts w:hint="eastAsia" w:ascii="仿宋_GB2312" w:eastAsia="仿宋_GB2312"/>
                <w:sz w:val="24"/>
              </w:rPr>
              <w:t>2.血源管理：按规定对献血者、供血浆者进行身份核实、健康征询和体检；按要求检测新浆员和间隔180 天的浆员的血浆；未超量、频繁采集血液（浆）；未采集冒名顶替者、健康检查不合格者血液（血浆）；</w:t>
            </w:r>
          </w:p>
          <w:p>
            <w:pPr>
              <w:spacing w:line="360" w:lineRule="auto"/>
              <w:rPr>
                <w:rFonts w:ascii="仿宋_GB2312" w:eastAsia="仿宋_GB2312"/>
                <w:sz w:val="24"/>
              </w:rPr>
            </w:pPr>
            <w:r>
              <w:rPr>
                <w:rFonts w:hint="eastAsia" w:ascii="仿宋_GB2312" w:eastAsia="仿宋_GB2312"/>
                <w:sz w:val="24"/>
              </w:rPr>
              <w:t>3.血液检测：血液（浆）检测项目齐全；按规定保存血液标本；按规定保存工作记录；对检测不合格或者报废的血液（浆），按有关规定处理；</w:t>
            </w:r>
          </w:p>
          <w:p>
            <w:pPr>
              <w:spacing w:line="360" w:lineRule="auto"/>
              <w:rPr>
                <w:rFonts w:ascii="仿宋_GB2312" w:eastAsia="仿宋_GB2312"/>
                <w:sz w:val="24"/>
              </w:rPr>
            </w:pPr>
            <w:r>
              <w:rPr>
                <w:rFonts w:hint="eastAsia" w:ascii="仿宋_GB2312" w:eastAsia="仿宋_GB2312"/>
                <w:sz w:val="24"/>
              </w:rPr>
              <w:t>4.包装储存运输：包装、储存、运输符合国家规定的卫生标准和要求；</w:t>
            </w:r>
          </w:p>
          <w:p>
            <w:pPr>
              <w:spacing w:line="360" w:lineRule="auto"/>
              <w:rPr>
                <w:rFonts w:ascii="仿宋_GB2312" w:eastAsia="仿宋_GB2312"/>
                <w:sz w:val="24"/>
              </w:rPr>
            </w:pPr>
            <w:r>
              <w:rPr>
                <w:rFonts w:hint="eastAsia" w:ascii="仿宋_GB2312" w:eastAsia="仿宋_GB2312"/>
                <w:sz w:val="24"/>
              </w:rPr>
              <w:t>5.其它：未非法采集、供应、倒卖血液、血浆。</w:t>
            </w:r>
          </w:p>
        </w:tc>
        <w:tc>
          <w:tcPr>
            <w:tcW w:w="1592" w:type="dxa"/>
            <w:vMerge w:val="restart"/>
            <w:tcBorders>
              <w:top w:val="single" w:color="auto" w:sz="4" w:space="0"/>
              <w:left w:val="single" w:color="auto" w:sz="4" w:space="0"/>
              <w:right w:val="single" w:color="auto" w:sz="4" w:space="0"/>
            </w:tcBorders>
            <w:vAlign w:val="top"/>
          </w:tcPr>
          <w:p>
            <w:pPr>
              <w:spacing w:line="360" w:lineRule="auto"/>
              <w:rPr>
                <w:rFonts w:ascii="仿宋_GB2312" w:eastAsia="仿宋_GB2312"/>
                <w:sz w:val="24"/>
              </w:rPr>
            </w:pPr>
          </w:p>
          <w:p>
            <w:pPr>
              <w:spacing w:line="360" w:lineRule="auto"/>
              <w:rPr>
                <w:rFonts w:ascii="仿宋_GB2312" w:eastAsia="仿宋_GB2312"/>
                <w:sz w:val="24"/>
              </w:rPr>
            </w:pPr>
          </w:p>
          <w:p>
            <w:pPr>
              <w:spacing w:line="360" w:lineRule="auto"/>
              <w:rPr>
                <w:rFonts w:ascii="仿宋_GB2312" w:eastAsia="仿宋_GB2312"/>
                <w:sz w:val="24"/>
              </w:rPr>
            </w:pPr>
            <w:r>
              <w:rPr>
                <w:rFonts w:ascii="仿宋_GB2312" w:eastAsia="仿宋_GB2312"/>
                <w:sz w:val="24"/>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sz w:val="24"/>
              </w:rPr>
              <w:t>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ascii="仿宋_GB2312" w:eastAsia="仿宋_GB2312"/>
                <w:sz w:val="24"/>
              </w:rPr>
              <w:t>特殊血</w:t>
            </w:r>
            <w:r>
              <w:rPr>
                <w:rFonts w:hint="eastAsia" w:ascii="仿宋_GB2312" w:eastAsia="仿宋_GB2312"/>
                <w:sz w:val="24"/>
              </w:rPr>
              <w:t>站</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sz w:val="24"/>
              </w:rPr>
              <w:t>100%</w:t>
            </w:r>
          </w:p>
        </w:tc>
        <w:tc>
          <w:tcPr>
            <w:tcW w:w="7371" w:type="dxa"/>
            <w:vMerge w:val="continue"/>
            <w:tcBorders>
              <w:left w:val="single" w:color="auto" w:sz="4" w:space="0"/>
              <w:right w:val="single" w:color="auto" w:sz="4" w:space="0"/>
            </w:tcBorders>
            <w:vAlign w:val="center"/>
          </w:tcPr>
          <w:p>
            <w:pPr>
              <w:widowControl/>
              <w:spacing w:line="360" w:lineRule="auto"/>
              <w:jc w:val="left"/>
              <w:rPr>
                <w:rFonts w:ascii="仿宋_GB2312" w:eastAsia="仿宋_GB2312"/>
                <w:sz w:val="24"/>
              </w:rPr>
            </w:pPr>
          </w:p>
        </w:tc>
        <w:tc>
          <w:tcPr>
            <w:tcW w:w="1592" w:type="dxa"/>
            <w:vMerge w:val="continue"/>
            <w:tcBorders>
              <w:left w:val="single" w:color="auto" w:sz="4" w:space="0"/>
              <w:right w:val="single" w:color="auto" w:sz="4" w:space="0"/>
            </w:tcBorders>
            <w:vAlign w:val="top"/>
          </w:tcPr>
          <w:p>
            <w:pPr>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ascii="仿宋_GB2312" w:eastAsia="仿宋_GB2312"/>
                <w:sz w:val="24"/>
              </w:rPr>
              <w:t>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ascii="仿宋_GB2312" w:eastAsia="仿宋_GB2312"/>
                <w:sz w:val="24"/>
              </w:rPr>
              <w:t>单采血浆站</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ascii="仿宋_GB2312" w:eastAsia="仿宋_GB2312"/>
                <w:sz w:val="24"/>
              </w:rPr>
              <w:t>100%</w:t>
            </w:r>
          </w:p>
        </w:tc>
        <w:tc>
          <w:tcPr>
            <w:tcW w:w="7371" w:type="dxa"/>
            <w:vMerge w:val="continue"/>
            <w:tcBorders>
              <w:left w:val="single" w:color="auto" w:sz="4" w:space="0"/>
              <w:bottom w:val="single" w:color="auto" w:sz="4" w:space="0"/>
              <w:right w:val="single" w:color="auto" w:sz="4" w:space="0"/>
            </w:tcBorders>
            <w:vAlign w:val="center"/>
          </w:tcPr>
          <w:p>
            <w:pPr>
              <w:widowControl/>
              <w:spacing w:line="360" w:lineRule="auto"/>
              <w:jc w:val="left"/>
              <w:rPr>
                <w:rFonts w:ascii="仿宋_GB2312" w:eastAsia="仿宋_GB2312"/>
                <w:sz w:val="24"/>
              </w:rPr>
            </w:pPr>
          </w:p>
        </w:tc>
        <w:tc>
          <w:tcPr>
            <w:tcW w:w="1592" w:type="dxa"/>
            <w:vMerge w:val="continue"/>
            <w:tcBorders>
              <w:left w:val="single" w:color="auto" w:sz="4" w:space="0"/>
              <w:bottom w:val="single" w:color="auto" w:sz="4" w:space="0"/>
              <w:right w:val="single" w:color="auto" w:sz="4" w:space="0"/>
            </w:tcBorders>
            <w:vAlign w:val="top"/>
          </w:tcPr>
          <w:p>
            <w:pPr>
              <w:spacing w:line="360" w:lineRule="auto"/>
              <w:rPr>
                <w:rFonts w:ascii="仿宋_GB2312" w:eastAsia="仿宋_GB2312"/>
                <w:sz w:val="24"/>
              </w:rPr>
            </w:pPr>
          </w:p>
        </w:tc>
      </w:tr>
    </w:tbl>
    <w:p>
      <w:pPr>
        <w:spacing w:before="720" w:beforeLines="300" w:after="100" w:afterAutospacing="1" w:line="360" w:lineRule="auto"/>
        <w:rPr>
          <w:rFonts w:ascii="黑体" w:hAnsi="黑体" w:eastAsia="黑体"/>
          <w:sz w:val="32"/>
          <w:szCs w:val="32"/>
        </w:rPr>
      </w:pPr>
    </w:p>
    <w:p>
      <w:pPr>
        <w:widowControl/>
        <w:jc w:val="left"/>
        <w:rPr>
          <w:rFonts w:ascii="黑体" w:hAnsi="黑体" w:eastAsia="黑体"/>
          <w:sz w:val="32"/>
          <w:szCs w:val="32"/>
        </w:rPr>
      </w:pPr>
      <w:r>
        <w:rPr>
          <w:rFonts w:ascii="黑体" w:hAnsi="黑体" w:eastAsia="黑体"/>
          <w:sz w:val="32"/>
          <w:szCs w:val="32"/>
        </w:rPr>
        <w:br w:type="page"/>
      </w:r>
    </w:p>
    <w:p>
      <w:pPr>
        <w:spacing w:before="720" w:beforeLines="300" w:after="100" w:afterAutospacing="1" w:line="360" w:lineRule="auto"/>
        <w:rPr>
          <w:rFonts w:hint="eastAsia" w:ascii="仿宋" w:hAnsi="仿宋" w:eastAsia="仿宋" w:cs="仿宋"/>
          <w:sz w:val="32"/>
          <w:szCs w:val="32"/>
        </w:rPr>
      </w:pPr>
      <w:r>
        <w:rPr>
          <w:rFonts w:hint="eastAsia" w:ascii="仿宋" w:hAnsi="仿宋" w:eastAsia="仿宋" w:cs="仿宋"/>
          <w:sz w:val="32"/>
          <w:szCs w:val="32"/>
        </w:rPr>
        <w:t>附表2</w:t>
      </w:r>
    </w:p>
    <w:p>
      <w:pPr>
        <w:spacing w:line="360" w:lineRule="auto"/>
        <w:jc w:val="center"/>
        <w:rPr>
          <w:rFonts w:hint="eastAsia" w:ascii="宋体" w:hAnsi="宋体"/>
          <w:b/>
          <w:sz w:val="36"/>
          <w:szCs w:val="36"/>
        </w:rPr>
      </w:pPr>
      <w:r>
        <w:rPr>
          <w:rFonts w:hint="eastAsia" w:ascii="宋体" w:hAnsi="宋体"/>
          <w:b/>
          <w:sz w:val="36"/>
          <w:szCs w:val="36"/>
        </w:rPr>
        <w:t>2020年采供血机构国家随机监督抽查汇总表</w:t>
      </w:r>
    </w:p>
    <w:tbl>
      <w:tblPr>
        <w:tblStyle w:val="16"/>
        <w:tblpPr w:leftFromText="180" w:rightFromText="180" w:vertAnchor="text" w:horzAnchor="margin" w:tblpXSpec="center" w:tblpY="195"/>
        <w:tblW w:w="153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642"/>
        <w:gridCol w:w="645"/>
        <w:gridCol w:w="534"/>
        <w:gridCol w:w="1028"/>
        <w:gridCol w:w="507"/>
        <w:gridCol w:w="880"/>
        <w:gridCol w:w="728"/>
        <w:gridCol w:w="1211"/>
        <w:gridCol w:w="883"/>
        <w:gridCol w:w="1089"/>
        <w:gridCol w:w="676"/>
        <w:gridCol w:w="676"/>
        <w:gridCol w:w="1233"/>
        <w:gridCol w:w="800"/>
        <w:gridCol w:w="800"/>
        <w:gridCol w:w="645"/>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672" w:type="dxa"/>
            <w:vMerge w:val="restart"/>
            <w:vAlign w:val="center"/>
          </w:tcPr>
          <w:p>
            <w:pPr>
              <w:spacing w:line="240" w:lineRule="exact"/>
              <w:jc w:val="center"/>
              <w:rPr>
                <w:rFonts w:ascii="仿宋_GB2312" w:eastAsia="仿宋_GB2312"/>
                <w:sz w:val="24"/>
              </w:rPr>
            </w:pPr>
            <w:r>
              <w:rPr>
                <w:rFonts w:hint="eastAsia" w:ascii="仿宋_GB2312" w:eastAsia="仿宋_GB2312"/>
                <w:sz w:val="24"/>
              </w:rPr>
              <w:t>单位类别</w:t>
            </w:r>
          </w:p>
        </w:tc>
        <w:tc>
          <w:tcPr>
            <w:tcW w:w="642" w:type="dxa"/>
            <w:vMerge w:val="restart"/>
            <w:vAlign w:val="center"/>
          </w:tcPr>
          <w:p>
            <w:pPr>
              <w:spacing w:line="240" w:lineRule="exact"/>
              <w:jc w:val="center"/>
              <w:rPr>
                <w:rFonts w:ascii="仿宋_GB2312" w:eastAsia="仿宋_GB2312"/>
                <w:sz w:val="24"/>
              </w:rPr>
            </w:pPr>
            <w:r>
              <w:rPr>
                <w:rFonts w:hint="eastAsia" w:ascii="仿宋_GB2312" w:eastAsia="仿宋_GB2312"/>
                <w:sz w:val="24"/>
              </w:rPr>
              <w:t>辖区内单位总数</w:t>
            </w:r>
          </w:p>
        </w:tc>
        <w:tc>
          <w:tcPr>
            <w:tcW w:w="645" w:type="dxa"/>
            <w:vMerge w:val="restart"/>
            <w:vAlign w:val="center"/>
          </w:tcPr>
          <w:p>
            <w:pPr>
              <w:spacing w:line="240" w:lineRule="exact"/>
              <w:jc w:val="center"/>
              <w:rPr>
                <w:rFonts w:ascii="仿宋_GB2312" w:eastAsia="仿宋_GB2312"/>
                <w:sz w:val="24"/>
              </w:rPr>
            </w:pPr>
            <w:r>
              <w:rPr>
                <w:rFonts w:hint="eastAsia" w:ascii="仿宋_GB2312" w:eastAsia="仿宋_GB2312"/>
                <w:sz w:val="24"/>
              </w:rPr>
              <w:t>检查单位数</w:t>
            </w:r>
          </w:p>
        </w:tc>
        <w:tc>
          <w:tcPr>
            <w:tcW w:w="11045" w:type="dxa"/>
            <w:gridSpan w:val="13"/>
            <w:vAlign w:val="center"/>
          </w:tcPr>
          <w:p>
            <w:pPr>
              <w:spacing w:line="240" w:lineRule="exact"/>
              <w:jc w:val="center"/>
              <w:rPr>
                <w:rFonts w:ascii="仿宋_GB2312" w:eastAsia="仿宋_GB2312"/>
                <w:sz w:val="24"/>
              </w:rPr>
            </w:pPr>
            <w:r>
              <w:rPr>
                <w:rFonts w:hint="eastAsia" w:ascii="仿宋_GB2312" w:eastAsia="仿宋_GB2312"/>
                <w:sz w:val="24"/>
              </w:rPr>
              <w:t>不合格情况</w:t>
            </w:r>
          </w:p>
        </w:tc>
        <w:tc>
          <w:tcPr>
            <w:tcW w:w="1366" w:type="dxa"/>
            <w:gridSpan w:val="2"/>
            <w:vAlign w:val="center"/>
          </w:tcPr>
          <w:p>
            <w:pPr>
              <w:spacing w:line="240" w:lineRule="exact"/>
              <w:jc w:val="center"/>
              <w:rPr>
                <w:rFonts w:ascii="仿宋_GB2312" w:eastAsia="仿宋_GB2312"/>
                <w:sz w:val="24"/>
              </w:rPr>
            </w:pPr>
            <w:r>
              <w:rPr>
                <w:rFonts w:hint="eastAsia" w:ascii="仿宋_GB2312" w:eastAsia="仿宋_GB2312"/>
                <w:sz w:val="24"/>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672" w:type="dxa"/>
            <w:vMerge w:val="continue"/>
            <w:vAlign w:val="center"/>
          </w:tcPr>
          <w:p>
            <w:pPr>
              <w:spacing w:line="240" w:lineRule="exact"/>
              <w:jc w:val="center"/>
              <w:rPr>
                <w:rFonts w:ascii="仿宋_GB2312" w:eastAsia="仿宋_GB2312"/>
                <w:sz w:val="24"/>
              </w:rPr>
            </w:pPr>
          </w:p>
        </w:tc>
        <w:tc>
          <w:tcPr>
            <w:tcW w:w="642" w:type="dxa"/>
            <w:vMerge w:val="continue"/>
            <w:vAlign w:val="center"/>
          </w:tcPr>
          <w:p>
            <w:pPr>
              <w:spacing w:line="240" w:lineRule="exact"/>
              <w:jc w:val="center"/>
              <w:rPr>
                <w:rFonts w:ascii="仿宋_GB2312" w:eastAsia="仿宋_GB2312"/>
                <w:sz w:val="24"/>
              </w:rPr>
            </w:pPr>
          </w:p>
        </w:tc>
        <w:tc>
          <w:tcPr>
            <w:tcW w:w="645" w:type="dxa"/>
            <w:vMerge w:val="continue"/>
            <w:vAlign w:val="center"/>
          </w:tcPr>
          <w:p>
            <w:pPr>
              <w:spacing w:line="240" w:lineRule="exact"/>
              <w:jc w:val="center"/>
              <w:rPr>
                <w:rFonts w:ascii="仿宋_GB2312" w:eastAsia="仿宋_GB2312"/>
                <w:sz w:val="24"/>
              </w:rPr>
            </w:pPr>
          </w:p>
        </w:tc>
        <w:tc>
          <w:tcPr>
            <w:tcW w:w="2069" w:type="dxa"/>
            <w:gridSpan w:val="3"/>
            <w:vAlign w:val="center"/>
          </w:tcPr>
          <w:p>
            <w:pPr>
              <w:spacing w:line="240" w:lineRule="exact"/>
              <w:jc w:val="center"/>
              <w:rPr>
                <w:rFonts w:ascii="仿宋_GB2312" w:eastAsia="仿宋_GB2312"/>
                <w:sz w:val="24"/>
              </w:rPr>
            </w:pPr>
            <w:r>
              <w:rPr>
                <w:rFonts w:hint="eastAsia" w:ascii="仿宋_GB2312" w:eastAsia="仿宋_GB2312"/>
                <w:sz w:val="24"/>
              </w:rPr>
              <w:t>资质管理</w:t>
            </w:r>
          </w:p>
        </w:tc>
        <w:tc>
          <w:tcPr>
            <w:tcW w:w="3702" w:type="dxa"/>
            <w:gridSpan w:val="4"/>
            <w:vAlign w:val="center"/>
          </w:tcPr>
          <w:p>
            <w:pPr>
              <w:spacing w:line="240" w:lineRule="exact"/>
              <w:jc w:val="center"/>
              <w:rPr>
                <w:rFonts w:ascii="仿宋_GB2312" w:eastAsia="仿宋_GB2312"/>
                <w:sz w:val="24"/>
              </w:rPr>
            </w:pPr>
            <w:r>
              <w:rPr>
                <w:rFonts w:hint="eastAsia" w:ascii="仿宋_GB2312" w:eastAsia="仿宋_GB2312"/>
                <w:sz w:val="24"/>
              </w:rPr>
              <w:t>血源管理</w:t>
            </w:r>
          </w:p>
        </w:tc>
        <w:tc>
          <w:tcPr>
            <w:tcW w:w="3674" w:type="dxa"/>
            <w:gridSpan w:val="4"/>
            <w:vAlign w:val="center"/>
          </w:tcPr>
          <w:p>
            <w:pPr>
              <w:spacing w:line="240" w:lineRule="exact"/>
              <w:jc w:val="center"/>
              <w:rPr>
                <w:rFonts w:ascii="仿宋_GB2312" w:eastAsia="仿宋_GB2312"/>
                <w:sz w:val="24"/>
              </w:rPr>
            </w:pPr>
            <w:r>
              <w:rPr>
                <w:rFonts w:hint="eastAsia" w:ascii="仿宋_GB2312" w:eastAsia="仿宋_GB2312"/>
                <w:sz w:val="24"/>
              </w:rPr>
              <w:t>血液检测</w:t>
            </w:r>
          </w:p>
        </w:tc>
        <w:tc>
          <w:tcPr>
            <w:tcW w:w="800" w:type="dxa"/>
            <w:vAlign w:val="center"/>
          </w:tcPr>
          <w:p>
            <w:pPr>
              <w:spacing w:line="240" w:lineRule="exact"/>
              <w:rPr>
                <w:rFonts w:ascii="仿宋_GB2312" w:eastAsia="仿宋_GB2312"/>
                <w:sz w:val="24"/>
              </w:rPr>
            </w:pPr>
            <w:r>
              <w:rPr>
                <w:rFonts w:hint="eastAsia" w:ascii="仿宋_GB2312" w:eastAsia="仿宋_GB2312"/>
                <w:sz w:val="24"/>
              </w:rPr>
              <w:t>包装储存运输</w:t>
            </w:r>
          </w:p>
        </w:tc>
        <w:tc>
          <w:tcPr>
            <w:tcW w:w="800" w:type="dxa"/>
            <w:vAlign w:val="center"/>
          </w:tcPr>
          <w:p>
            <w:pPr>
              <w:spacing w:line="240" w:lineRule="exact"/>
              <w:jc w:val="center"/>
              <w:rPr>
                <w:rFonts w:ascii="仿宋_GB2312" w:eastAsia="仿宋_GB2312"/>
                <w:sz w:val="24"/>
              </w:rPr>
            </w:pPr>
            <w:r>
              <w:rPr>
                <w:rFonts w:hint="eastAsia" w:ascii="仿宋_GB2312" w:eastAsia="仿宋_GB2312"/>
                <w:sz w:val="24"/>
              </w:rPr>
              <w:t>其他</w:t>
            </w:r>
          </w:p>
        </w:tc>
        <w:tc>
          <w:tcPr>
            <w:tcW w:w="645" w:type="dxa"/>
            <w:vMerge w:val="restart"/>
            <w:vAlign w:val="center"/>
          </w:tcPr>
          <w:p>
            <w:pPr>
              <w:spacing w:line="240" w:lineRule="exact"/>
              <w:jc w:val="center"/>
              <w:rPr>
                <w:rFonts w:ascii="仿宋_GB2312" w:eastAsia="仿宋_GB2312"/>
                <w:sz w:val="24"/>
              </w:rPr>
            </w:pPr>
            <w:r>
              <w:rPr>
                <w:rFonts w:hint="eastAsia" w:ascii="仿宋_GB2312" w:eastAsia="仿宋_GB2312"/>
                <w:sz w:val="24"/>
              </w:rPr>
              <w:t>案件查处数</w:t>
            </w:r>
          </w:p>
        </w:tc>
        <w:tc>
          <w:tcPr>
            <w:tcW w:w="721" w:type="dxa"/>
            <w:vMerge w:val="restart"/>
            <w:vAlign w:val="center"/>
          </w:tcPr>
          <w:p>
            <w:pPr>
              <w:spacing w:line="240" w:lineRule="exact"/>
              <w:jc w:val="center"/>
              <w:rPr>
                <w:rFonts w:ascii="仿宋_GB2312" w:eastAsia="仿宋_GB2312"/>
                <w:sz w:val="24"/>
              </w:rPr>
            </w:pPr>
            <w:r>
              <w:rPr>
                <w:rFonts w:hint="eastAsia" w:ascii="仿宋_GB2312" w:eastAsia="仿宋_GB2312"/>
                <w:sz w:val="24"/>
              </w:rPr>
              <w:t>罚没款金额（万元）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672" w:type="dxa"/>
            <w:vMerge w:val="continue"/>
            <w:vAlign w:val="center"/>
          </w:tcPr>
          <w:p>
            <w:pPr>
              <w:spacing w:line="240" w:lineRule="exact"/>
              <w:jc w:val="center"/>
              <w:rPr>
                <w:rFonts w:ascii="仿宋_GB2312" w:eastAsia="仿宋_GB2312"/>
                <w:sz w:val="24"/>
              </w:rPr>
            </w:pPr>
          </w:p>
        </w:tc>
        <w:tc>
          <w:tcPr>
            <w:tcW w:w="642" w:type="dxa"/>
            <w:vMerge w:val="continue"/>
            <w:vAlign w:val="center"/>
          </w:tcPr>
          <w:p>
            <w:pPr>
              <w:spacing w:line="240" w:lineRule="exact"/>
              <w:jc w:val="center"/>
              <w:rPr>
                <w:rFonts w:ascii="仿宋_GB2312" w:eastAsia="仿宋_GB2312"/>
                <w:sz w:val="24"/>
              </w:rPr>
            </w:pPr>
          </w:p>
        </w:tc>
        <w:tc>
          <w:tcPr>
            <w:tcW w:w="645" w:type="dxa"/>
            <w:vMerge w:val="continue"/>
            <w:vAlign w:val="center"/>
          </w:tcPr>
          <w:p>
            <w:pPr>
              <w:spacing w:line="240" w:lineRule="exact"/>
              <w:jc w:val="center"/>
              <w:rPr>
                <w:rFonts w:ascii="仿宋_GB2312" w:eastAsia="仿宋_GB2312"/>
                <w:sz w:val="24"/>
              </w:rPr>
            </w:pPr>
          </w:p>
        </w:tc>
        <w:tc>
          <w:tcPr>
            <w:tcW w:w="534" w:type="dxa"/>
            <w:vAlign w:val="center"/>
          </w:tcPr>
          <w:p>
            <w:pPr>
              <w:spacing w:line="240" w:lineRule="exact"/>
              <w:jc w:val="center"/>
              <w:rPr>
                <w:rFonts w:ascii="仿宋_GB2312" w:eastAsia="仿宋_GB2312"/>
                <w:sz w:val="24"/>
              </w:rPr>
            </w:pPr>
            <w:r>
              <w:rPr>
                <w:rFonts w:hint="eastAsia" w:ascii="仿宋_GB2312" w:hAnsi="宋体" w:eastAsia="仿宋_GB2312"/>
                <w:sz w:val="24"/>
              </w:rPr>
              <w:t>未按照许可范围开展工作单位数</w:t>
            </w:r>
          </w:p>
        </w:tc>
        <w:tc>
          <w:tcPr>
            <w:tcW w:w="1028" w:type="dxa"/>
            <w:vAlign w:val="center"/>
          </w:tcPr>
          <w:p>
            <w:pPr>
              <w:spacing w:line="240" w:lineRule="exact"/>
              <w:jc w:val="center"/>
              <w:rPr>
                <w:rFonts w:ascii="仿宋_GB2312" w:eastAsia="仿宋_GB2312"/>
                <w:sz w:val="24"/>
              </w:rPr>
            </w:pPr>
            <w:r>
              <w:rPr>
                <w:rFonts w:hint="eastAsia" w:ascii="仿宋_GB2312" w:hAnsi="宋体" w:eastAsia="仿宋_GB2312"/>
                <w:sz w:val="24"/>
              </w:rPr>
              <w:t>从业人员未取得相关岗位执业资格或者执业注册而从事血液安全工作单位数</w:t>
            </w:r>
          </w:p>
        </w:tc>
        <w:tc>
          <w:tcPr>
            <w:tcW w:w="507" w:type="dxa"/>
            <w:vAlign w:val="center"/>
          </w:tcPr>
          <w:p>
            <w:pPr>
              <w:spacing w:line="240" w:lineRule="exact"/>
              <w:jc w:val="center"/>
              <w:rPr>
                <w:rFonts w:ascii="仿宋_GB2312" w:eastAsia="仿宋_GB2312"/>
                <w:sz w:val="24"/>
              </w:rPr>
            </w:pPr>
            <w:r>
              <w:rPr>
                <w:rFonts w:hint="eastAsia" w:ascii="仿宋_GB2312" w:hAnsi="宋体" w:eastAsia="仿宋_GB2312"/>
                <w:sz w:val="24"/>
              </w:rPr>
              <w:t>使用不符合国家规定的耗材单位数</w:t>
            </w:r>
          </w:p>
        </w:tc>
        <w:tc>
          <w:tcPr>
            <w:tcW w:w="880" w:type="dxa"/>
            <w:vAlign w:val="center"/>
          </w:tcPr>
          <w:p>
            <w:pPr>
              <w:spacing w:line="240" w:lineRule="exact"/>
              <w:jc w:val="center"/>
              <w:rPr>
                <w:rFonts w:ascii="仿宋_GB2312" w:eastAsia="仿宋_GB2312"/>
                <w:sz w:val="24"/>
              </w:rPr>
            </w:pPr>
            <w:r>
              <w:rPr>
                <w:rFonts w:hint="eastAsia" w:ascii="仿宋_GB2312" w:eastAsia="仿宋_GB2312"/>
                <w:sz w:val="24"/>
              </w:rPr>
              <w:t>未按规定对献血者、供血浆者进行身份核实、健康征询和体检单位数</w:t>
            </w:r>
          </w:p>
        </w:tc>
        <w:tc>
          <w:tcPr>
            <w:tcW w:w="728" w:type="dxa"/>
            <w:vAlign w:val="center"/>
          </w:tcPr>
          <w:p>
            <w:pPr>
              <w:spacing w:line="240" w:lineRule="exact"/>
              <w:jc w:val="center"/>
              <w:rPr>
                <w:rFonts w:ascii="仿宋_GB2312" w:eastAsia="仿宋_GB2312"/>
                <w:sz w:val="24"/>
              </w:rPr>
            </w:pPr>
            <w:r>
              <w:rPr>
                <w:rFonts w:hint="eastAsia" w:ascii="仿宋_GB2312" w:eastAsia="仿宋_GB2312"/>
                <w:sz w:val="24"/>
              </w:rPr>
              <w:t>未按要求检测新浆员和间隔180天的浆员的血浆单位数</w:t>
            </w:r>
          </w:p>
        </w:tc>
        <w:tc>
          <w:tcPr>
            <w:tcW w:w="1211" w:type="dxa"/>
            <w:vAlign w:val="center"/>
          </w:tcPr>
          <w:p>
            <w:pPr>
              <w:spacing w:line="240" w:lineRule="exact"/>
              <w:jc w:val="center"/>
              <w:rPr>
                <w:rFonts w:ascii="仿宋_GB2312" w:eastAsia="仿宋_GB2312"/>
                <w:sz w:val="24"/>
              </w:rPr>
            </w:pPr>
            <w:r>
              <w:rPr>
                <w:rFonts w:hint="eastAsia" w:ascii="仿宋_GB2312" w:eastAsia="仿宋_GB2312"/>
                <w:sz w:val="24"/>
              </w:rPr>
              <w:t>超量、频繁采集血液（浆）的单位数</w:t>
            </w:r>
          </w:p>
        </w:tc>
        <w:tc>
          <w:tcPr>
            <w:tcW w:w="883" w:type="dxa"/>
            <w:vAlign w:val="center"/>
          </w:tcPr>
          <w:p>
            <w:pPr>
              <w:spacing w:line="240" w:lineRule="exact"/>
              <w:jc w:val="center"/>
              <w:rPr>
                <w:rFonts w:ascii="仿宋_GB2312" w:eastAsia="仿宋_GB2312"/>
                <w:sz w:val="24"/>
              </w:rPr>
            </w:pPr>
            <w:r>
              <w:rPr>
                <w:rFonts w:hint="eastAsia" w:ascii="仿宋_GB2312" w:eastAsia="仿宋_GB2312"/>
                <w:sz w:val="24"/>
              </w:rPr>
              <w:t>采集冒名顶替者、健康检查不合格者血液（血浆）单位数</w:t>
            </w:r>
          </w:p>
        </w:tc>
        <w:tc>
          <w:tcPr>
            <w:tcW w:w="1089" w:type="dxa"/>
            <w:vAlign w:val="center"/>
          </w:tcPr>
          <w:p>
            <w:pPr>
              <w:spacing w:line="240" w:lineRule="exact"/>
              <w:jc w:val="center"/>
              <w:rPr>
                <w:rFonts w:ascii="仿宋_GB2312" w:eastAsia="仿宋_GB2312"/>
                <w:sz w:val="24"/>
              </w:rPr>
            </w:pPr>
            <w:r>
              <w:rPr>
                <w:rFonts w:hint="eastAsia" w:ascii="仿宋_GB2312" w:hAnsi="宋体" w:eastAsia="仿宋_GB2312"/>
                <w:sz w:val="24"/>
              </w:rPr>
              <w:t>血液（浆）检测项目不齐全单位数</w:t>
            </w:r>
          </w:p>
        </w:tc>
        <w:tc>
          <w:tcPr>
            <w:tcW w:w="676" w:type="dxa"/>
            <w:vAlign w:val="center"/>
          </w:tcPr>
          <w:p>
            <w:pPr>
              <w:spacing w:line="240" w:lineRule="exact"/>
              <w:jc w:val="center"/>
              <w:rPr>
                <w:rFonts w:ascii="仿宋_GB2312" w:eastAsia="仿宋_GB2312"/>
                <w:sz w:val="24"/>
              </w:rPr>
            </w:pPr>
            <w:r>
              <w:rPr>
                <w:rFonts w:hint="eastAsia" w:ascii="仿宋_GB2312" w:hAnsi="宋体" w:eastAsia="仿宋_GB2312"/>
                <w:sz w:val="24"/>
              </w:rPr>
              <w:t>未按规定保存血液标本的单位数</w:t>
            </w:r>
          </w:p>
        </w:tc>
        <w:tc>
          <w:tcPr>
            <w:tcW w:w="676" w:type="dxa"/>
            <w:vAlign w:val="center"/>
          </w:tcPr>
          <w:p>
            <w:pPr>
              <w:spacing w:line="240" w:lineRule="exact"/>
              <w:jc w:val="center"/>
              <w:rPr>
                <w:rFonts w:ascii="仿宋_GB2312" w:eastAsia="仿宋_GB2312"/>
                <w:sz w:val="24"/>
              </w:rPr>
            </w:pPr>
            <w:r>
              <w:rPr>
                <w:rFonts w:hint="eastAsia" w:ascii="仿宋_GB2312" w:hAnsi="宋体" w:eastAsia="仿宋_GB2312"/>
                <w:sz w:val="24"/>
              </w:rPr>
              <w:t>未按规定保存工作记录的单位数</w:t>
            </w:r>
          </w:p>
        </w:tc>
        <w:tc>
          <w:tcPr>
            <w:tcW w:w="1233" w:type="dxa"/>
            <w:vAlign w:val="center"/>
          </w:tcPr>
          <w:p>
            <w:pPr>
              <w:spacing w:line="240" w:lineRule="exact"/>
              <w:jc w:val="center"/>
              <w:rPr>
                <w:rFonts w:ascii="仿宋_GB2312" w:eastAsia="仿宋_GB2312"/>
                <w:sz w:val="24"/>
              </w:rPr>
            </w:pPr>
            <w:r>
              <w:rPr>
                <w:rFonts w:hint="eastAsia" w:ascii="仿宋_GB2312" w:hAnsi="宋体" w:eastAsia="仿宋_GB2312"/>
                <w:sz w:val="24"/>
              </w:rPr>
              <w:t>对检测不合格或者报废的血液（浆），未按有关规定处理单位数</w:t>
            </w:r>
          </w:p>
        </w:tc>
        <w:tc>
          <w:tcPr>
            <w:tcW w:w="800" w:type="dxa"/>
            <w:vAlign w:val="center"/>
          </w:tcPr>
          <w:p>
            <w:pPr>
              <w:spacing w:line="240" w:lineRule="exact"/>
              <w:jc w:val="center"/>
              <w:rPr>
                <w:rFonts w:ascii="仿宋_GB2312" w:eastAsia="仿宋_GB2312"/>
                <w:sz w:val="24"/>
              </w:rPr>
            </w:pPr>
            <w:r>
              <w:rPr>
                <w:rFonts w:hint="eastAsia" w:ascii="仿宋_GB2312" w:hAnsi="宋体" w:eastAsia="仿宋_GB2312"/>
                <w:sz w:val="24"/>
              </w:rPr>
              <w:t>包装、储存、运输不符合国家规定的卫生标准和要求单位数</w:t>
            </w:r>
          </w:p>
        </w:tc>
        <w:tc>
          <w:tcPr>
            <w:tcW w:w="800" w:type="dxa"/>
            <w:vAlign w:val="center"/>
          </w:tcPr>
          <w:p>
            <w:pPr>
              <w:spacing w:line="240" w:lineRule="exact"/>
              <w:jc w:val="center"/>
              <w:rPr>
                <w:rFonts w:ascii="仿宋_GB2312" w:eastAsia="仿宋_GB2312"/>
                <w:sz w:val="24"/>
              </w:rPr>
            </w:pPr>
            <w:r>
              <w:rPr>
                <w:rFonts w:hint="eastAsia" w:ascii="仿宋_GB2312" w:hAnsi="宋体" w:eastAsia="仿宋_GB2312"/>
                <w:sz w:val="24"/>
              </w:rPr>
              <w:t>非法采集、供应、倒卖血液、血浆单位数</w:t>
            </w:r>
          </w:p>
        </w:tc>
        <w:tc>
          <w:tcPr>
            <w:tcW w:w="645" w:type="dxa"/>
            <w:vMerge w:val="continue"/>
            <w:vAlign w:val="center"/>
          </w:tcPr>
          <w:p>
            <w:pPr>
              <w:spacing w:line="240" w:lineRule="exact"/>
              <w:jc w:val="center"/>
              <w:rPr>
                <w:rFonts w:ascii="仿宋_GB2312" w:eastAsia="仿宋_GB2312"/>
                <w:sz w:val="24"/>
              </w:rPr>
            </w:pPr>
          </w:p>
        </w:tc>
        <w:tc>
          <w:tcPr>
            <w:tcW w:w="721" w:type="dxa"/>
            <w:vMerge w:val="continue"/>
            <w:vAlign w:val="center"/>
          </w:tcPr>
          <w:p>
            <w:pPr>
              <w:spacing w:line="2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672" w:type="dxa"/>
            <w:vAlign w:val="center"/>
          </w:tcPr>
          <w:p>
            <w:pPr>
              <w:spacing w:line="240" w:lineRule="exact"/>
              <w:jc w:val="center"/>
              <w:rPr>
                <w:rFonts w:ascii="仿宋_GB2312" w:eastAsia="仿宋_GB2312"/>
                <w:sz w:val="24"/>
              </w:rPr>
            </w:pPr>
            <w:r>
              <w:rPr>
                <w:rFonts w:ascii="仿宋_GB2312" w:eastAsia="仿宋_GB2312"/>
                <w:sz w:val="24"/>
              </w:rPr>
              <w:t>一般</w:t>
            </w:r>
            <w:r>
              <w:rPr>
                <w:rFonts w:hint="eastAsia" w:ascii="仿宋_GB2312" w:eastAsia="仿宋_GB2312"/>
                <w:sz w:val="24"/>
              </w:rPr>
              <w:t>血站</w:t>
            </w:r>
          </w:p>
        </w:tc>
        <w:tc>
          <w:tcPr>
            <w:tcW w:w="642" w:type="dxa"/>
            <w:vAlign w:val="center"/>
          </w:tcPr>
          <w:p>
            <w:pPr>
              <w:spacing w:line="240" w:lineRule="exact"/>
              <w:jc w:val="center"/>
              <w:rPr>
                <w:rFonts w:ascii="仿宋_GB2312" w:eastAsia="仿宋_GB2312"/>
                <w:sz w:val="24"/>
              </w:rPr>
            </w:pPr>
          </w:p>
        </w:tc>
        <w:tc>
          <w:tcPr>
            <w:tcW w:w="645" w:type="dxa"/>
            <w:vAlign w:val="center"/>
          </w:tcPr>
          <w:p>
            <w:pPr>
              <w:spacing w:line="240" w:lineRule="exact"/>
              <w:jc w:val="center"/>
              <w:rPr>
                <w:rFonts w:ascii="仿宋_GB2312" w:eastAsia="仿宋_GB2312"/>
                <w:sz w:val="24"/>
              </w:rPr>
            </w:pPr>
          </w:p>
        </w:tc>
        <w:tc>
          <w:tcPr>
            <w:tcW w:w="534" w:type="dxa"/>
            <w:vAlign w:val="center"/>
          </w:tcPr>
          <w:p>
            <w:pPr>
              <w:spacing w:line="240" w:lineRule="exact"/>
              <w:jc w:val="center"/>
              <w:rPr>
                <w:rFonts w:ascii="仿宋_GB2312" w:eastAsia="仿宋_GB2312"/>
                <w:sz w:val="24"/>
              </w:rPr>
            </w:pPr>
          </w:p>
        </w:tc>
        <w:tc>
          <w:tcPr>
            <w:tcW w:w="1028" w:type="dxa"/>
            <w:vAlign w:val="center"/>
          </w:tcPr>
          <w:p>
            <w:pPr>
              <w:spacing w:line="240" w:lineRule="exact"/>
              <w:jc w:val="center"/>
              <w:rPr>
                <w:rFonts w:ascii="仿宋_GB2312" w:eastAsia="仿宋_GB2312"/>
                <w:sz w:val="24"/>
              </w:rPr>
            </w:pPr>
          </w:p>
        </w:tc>
        <w:tc>
          <w:tcPr>
            <w:tcW w:w="507" w:type="dxa"/>
            <w:vAlign w:val="center"/>
          </w:tcPr>
          <w:p>
            <w:pPr>
              <w:spacing w:line="240" w:lineRule="exact"/>
              <w:jc w:val="center"/>
              <w:rPr>
                <w:rFonts w:ascii="仿宋_GB2312" w:eastAsia="仿宋_GB2312"/>
                <w:sz w:val="24"/>
              </w:rPr>
            </w:pPr>
          </w:p>
        </w:tc>
        <w:tc>
          <w:tcPr>
            <w:tcW w:w="880" w:type="dxa"/>
            <w:vAlign w:val="center"/>
          </w:tcPr>
          <w:p>
            <w:pPr>
              <w:spacing w:line="240" w:lineRule="exact"/>
              <w:jc w:val="center"/>
              <w:rPr>
                <w:rFonts w:ascii="仿宋_GB2312" w:eastAsia="仿宋_GB2312"/>
                <w:sz w:val="24"/>
              </w:rPr>
            </w:pPr>
          </w:p>
        </w:tc>
        <w:tc>
          <w:tcPr>
            <w:tcW w:w="728" w:type="dxa"/>
            <w:vAlign w:val="center"/>
          </w:tcPr>
          <w:p>
            <w:pPr>
              <w:spacing w:line="240" w:lineRule="exact"/>
              <w:jc w:val="center"/>
              <w:rPr>
                <w:rFonts w:ascii="仿宋_GB2312" w:eastAsia="仿宋_GB2312"/>
                <w:sz w:val="24"/>
              </w:rPr>
            </w:pPr>
          </w:p>
        </w:tc>
        <w:tc>
          <w:tcPr>
            <w:tcW w:w="1211" w:type="dxa"/>
            <w:vAlign w:val="center"/>
          </w:tcPr>
          <w:p>
            <w:pPr>
              <w:spacing w:line="240" w:lineRule="exact"/>
              <w:jc w:val="center"/>
              <w:rPr>
                <w:rFonts w:ascii="仿宋_GB2312" w:eastAsia="仿宋_GB2312"/>
                <w:sz w:val="24"/>
              </w:rPr>
            </w:pPr>
          </w:p>
        </w:tc>
        <w:tc>
          <w:tcPr>
            <w:tcW w:w="883" w:type="dxa"/>
            <w:vAlign w:val="center"/>
          </w:tcPr>
          <w:p>
            <w:pPr>
              <w:spacing w:line="240" w:lineRule="exact"/>
              <w:jc w:val="center"/>
              <w:rPr>
                <w:rFonts w:ascii="仿宋_GB2312" w:eastAsia="仿宋_GB2312"/>
                <w:sz w:val="24"/>
              </w:rPr>
            </w:pPr>
          </w:p>
        </w:tc>
        <w:tc>
          <w:tcPr>
            <w:tcW w:w="1089" w:type="dxa"/>
            <w:vAlign w:val="center"/>
          </w:tcPr>
          <w:p>
            <w:pPr>
              <w:spacing w:line="240" w:lineRule="exact"/>
              <w:jc w:val="center"/>
              <w:rPr>
                <w:rFonts w:ascii="仿宋_GB2312" w:eastAsia="仿宋_GB2312"/>
                <w:sz w:val="24"/>
              </w:rPr>
            </w:pPr>
          </w:p>
        </w:tc>
        <w:tc>
          <w:tcPr>
            <w:tcW w:w="676" w:type="dxa"/>
            <w:vAlign w:val="center"/>
          </w:tcPr>
          <w:p>
            <w:pPr>
              <w:spacing w:line="240" w:lineRule="exact"/>
              <w:jc w:val="center"/>
              <w:rPr>
                <w:rFonts w:ascii="仿宋_GB2312" w:eastAsia="仿宋_GB2312"/>
                <w:sz w:val="24"/>
              </w:rPr>
            </w:pPr>
          </w:p>
        </w:tc>
        <w:tc>
          <w:tcPr>
            <w:tcW w:w="676" w:type="dxa"/>
            <w:vAlign w:val="center"/>
          </w:tcPr>
          <w:p>
            <w:pPr>
              <w:spacing w:line="240" w:lineRule="exact"/>
              <w:jc w:val="center"/>
              <w:rPr>
                <w:rFonts w:ascii="仿宋_GB2312" w:eastAsia="仿宋_GB2312"/>
                <w:sz w:val="24"/>
              </w:rPr>
            </w:pPr>
          </w:p>
        </w:tc>
        <w:tc>
          <w:tcPr>
            <w:tcW w:w="1233" w:type="dxa"/>
            <w:vAlign w:val="center"/>
          </w:tcPr>
          <w:p>
            <w:pPr>
              <w:spacing w:line="240" w:lineRule="exact"/>
              <w:jc w:val="center"/>
              <w:rPr>
                <w:rFonts w:ascii="仿宋_GB2312" w:eastAsia="仿宋_GB2312"/>
                <w:sz w:val="24"/>
              </w:rPr>
            </w:pPr>
          </w:p>
        </w:tc>
        <w:tc>
          <w:tcPr>
            <w:tcW w:w="800" w:type="dxa"/>
            <w:vAlign w:val="center"/>
          </w:tcPr>
          <w:p>
            <w:pPr>
              <w:spacing w:line="240" w:lineRule="exact"/>
              <w:jc w:val="center"/>
              <w:rPr>
                <w:rFonts w:ascii="仿宋_GB2312" w:eastAsia="仿宋_GB2312"/>
                <w:sz w:val="24"/>
              </w:rPr>
            </w:pPr>
          </w:p>
        </w:tc>
        <w:tc>
          <w:tcPr>
            <w:tcW w:w="800" w:type="dxa"/>
            <w:vAlign w:val="center"/>
          </w:tcPr>
          <w:p>
            <w:pPr>
              <w:spacing w:line="240" w:lineRule="exact"/>
              <w:jc w:val="center"/>
              <w:rPr>
                <w:rFonts w:ascii="仿宋_GB2312" w:eastAsia="仿宋_GB2312"/>
                <w:sz w:val="24"/>
              </w:rPr>
            </w:pPr>
          </w:p>
        </w:tc>
        <w:tc>
          <w:tcPr>
            <w:tcW w:w="645" w:type="dxa"/>
            <w:vAlign w:val="center"/>
          </w:tcPr>
          <w:p>
            <w:pPr>
              <w:spacing w:line="240" w:lineRule="exact"/>
              <w:jc w:val="center"/>
              <w:rPr>
                <w:rFonts w:ascii="仿宋_GB2312" w:eastAsia="仿宋_GB2312"/>
                <w:sz w:val="24"/>
              </w:rPr>
            </w:pPr>
          </w:p>
        </w:tc>
        <w:tc>
          <w:tcPr>
            <w:tcW w:w="721" w:type="dxa"/>
            <w:vAlign w:val="center"/>
          </w:tcPr>
          <w:p>
            <w:pPr>
              <w:spacing w:line="2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672" w:type="dxa"/>
            <w:vAlign w:val="center"/>
          </w:tcPr>
          <w:p>
            <w:pPr>
              <w:spacing w:line="240" w:lineRule="exact"/>
              <w:jc w:val="center"/>
              <w:rPr>
                <w:rFonts w:ascii="仿宋_GB2312" w:eastAsia="仿宋_GB2312"/>
                <w:color w:val="C00000"/>
                <w:sz w:val="24"/>
              </w:rPr>
            </w:pPr>
            <w:r>
              <w:rPr>
                <w:rFonts w:ascii="仿宋_GB2312" w:eastAsia="仿宋_GB2312"/>
                <w:sz w:val="24"/>
              </w:rPr>
              <w:t>特殊血站</w:t>
            </w:r>
          </w:p>
        </w:tc>
        <w:tc>
          <w:tcPr>
            <w:tcW w:w="642" w:type="dxa"/>
            <w:vAlign w:val="center"/>
          </w:tcPr>
          <w:p>
            <w:pPr>
              <w:spacing w:line="240" w:lineRule="exact"/>
              <w:jc w:val="center"/>
              <w:rPr>
                <w:rFonts w:ascii="仿宋_GB2312" w:eastAsia="仿宋_GB2312"/>
                <w:color w:val="C00000"/>
                <w:sz w:val="24"/>
              </w:rPr>
            </w:pPr>
          </w:p>
        </w:tc>
        <w:tc>
          <w:tcPr>
            <w:tcW w:w="645" w:type="dxa"/>
            <w:vAlign w:val="center"/>
          </w:tcPr>
          <w:p>
            <w:pPr>
              <w:spacing w:line="240" w:lineRule="exact"/>
              <w:jc w:val="center"/>
              <w:rPr>
                <w:rFonts w:ascii="仿宋_GB2312" w:eastAsia="仿宋_GB2312"/>
                <w:color w:val="C00000"/>
                <w:sz w:val="24"/>
              </w:rPr>
            </w:pPr>
          </w:p>
        </w:tc>
        <w:tc>
          <w:tcPr>
            <w:tcW w:w="534" w:type="dxa"/>
            <w:vAlign w:val="center"/>
          </w:tcPr>
          <w:p>
            <w:pPr>
              <w:spacing w:line="240" w:lineRule="exact"/>
              <w:jc w:val="center"/>
              <w:rPr>
                <w:rFonts w:ascii="仿宋_GB2312" w:eastAsia="仿宋_GB2312"/>
                <w:color w:val="C00000"/>
                <w:sz w:val="24"/>
              </w:rPr>
            </w:pPr>
          </w:p>
        </w:tc>
        <w:tc>
          <w:tcPr>
            <w:tcW w:w="1028" w:type="dxa"/>
            <w:vAlign w:val="center"/>
          </w:tcPr>
          <w:p>
            <w:pPr>
              <w:spacing w:line="240" w:lineRule="exact"/>
              <w:jc w:val="center"/>
              <w:rPr>
                <w:rFonts w:ascii="仿宋_GB2312" w:eastAsia="仿宋_GB2312"/>
                <w:color w:val="C00000"/>
                <w:sz w:val="24"/>
              </w:rPr>
            </w:pPr>
          </w:p>
        </w:tc>
        <w:tc>
          <w:tcPr>
            <w:tcW w:w="507" w:type="dxa"/>
            <w:vAlign w:val="center"/>
          </w:tcPr>
          <w:p>
            <w:pPr>
              <w:spacing w:line="240" w:lineRule="exact"/>
              <w:jc w:val="center"/>
              <w:rPr>
                <w:rFonts w:ascii="仿宋_GB2312" w:eastAsia="仿宋_GB2312"/>
                <w:color w:val="C00000"/>
                <w:sz w:val="24"/>
              </w:rPr>
            </w:pPr>
          </w:p>
        </w:tc>
        <w:tc>
          <w:tcPr>
            <w:tcW w:w="880" w:type="dxa"/>
            <w:vAlign w:val="center"/>
          </w:tcPr>
          <w:p>
            <w:pPr>
              <w:spacing w:line="240" w:lineRule="exact"/>
              <w:jc w:val="center"/>
              <w:rPr>
                <w:rFonts w:ascii="仿宋_GB2312" w:eastAsia="仿宋_GB2312"/>
                <w:color w:val="C00000"/>
                <w:sz w:val="24"/>
              </w:rPr>
            </w:pPr>
          </w:p>
        </w:tc>
        <w:tc>
          <w:tcPr>
            <w:tcW w:w="728" w:type="dxa"/>
            <w:vAlign w:val="center"/>
          </w:tcPr>
          <w:p>
            <w:pPr>
              <w:spacing w:line="240" w:lineRule="exact"/>
              <w:jc w:val="center"/>
              <w:rPr>
                <w:rFonts w:ascii="仿宋_GB2312" w:eastAsia="仿宋_GB2312"/>
                <w:color w:val="C00000"/>
                <w:sz w:val="24"/>
              </w:rPr>
            </w:pPr>
          </w:p>
        </w:tc>
        <w:tc>
          <w:tcPr>
            <w:tcW w:w="1211" w:type="dxa"/>
            <w:vAlign w:val="center"/>
          </w:tcPr>
          <w:p>
            <w:pPr>
              <w:spacing w:line="240" w:lineRule="exact"/>
              <w:jc w:val="center"/>
              <w:rPr>
                <w:rFonts w:ascii="仿宋_GB2312" w:eastAsia="仿宋_GB2312"/>
                <w:color w:val="C00000"/>
                <w:sz w:val="24"/>
              </w:rPr>
            </w:pPr>
          </w:p>
        </w:tc>
        <w:tc>
          <w:tcPr>
            <w:tcW w:w="883" w:type="dxa"/>
            <w:vAlign w:val="center"/>
          </w:tcPr>
          <w:p>
            <w:pPr>
              <w:spacing w:line="240" w:lineRule="exact"/>
              <w:jc w:val="center"/>
              <w:rPr>
                <w:rFonts w:ascii="仿宋_GB2312" w:eastAsia="仿宋_GB2312"/>
                <w:color w:val="C00000"/>
                <w:sz w:val="24"/>
              </w:rPr>
            </w:pPr>
          </w:p>
        </w:tc>
        <w:tc>
          <w:tcPr>
            <w:tcW w:w="1089" w:type="dxa"/>
            <w:vAlign w:val="center"/>
          </w:tcPr>
          <w:p>
            <w:pPr>
              <w:spacing w:line="240" w:lineRule="exact"/>
              <w:jc w:val="center"/>
              <w:rPr>
                <w:rFonts w:ascii="仿宋_GB2312" w:eastAsia="仿宋_GB2312"/>
                <w:color w:val="C00000"/>
                <w:sz w:val="24"/>
              </w:rPr>
            </w:pPr>
          </w:p>
        </w:tc>
        <w:tc>
          <w:tcPr>
            <w:tcW w:w="676" w:type="dxa"/>
            <w:vAlign w:val="center"/>
          </w:tcPr>
          <w:p>
            <w:pPr>
              <w:spacing w:line="240" w:lineRule="exact"/>
              <w:jc w:val="center"/>
              <w:rPr>
                <w:rFonts w:ascii="仿宋_GB2312" w:eastAsia="仿宋_GB2312"/>
                <w:color w:val="C00000"/>
                <w:sz w:val="24"/>
              </w:rPr>
            </w:pPr>
          </w:p>
        </w:tc>
        <w:tc>
          <w:tcPr>
            <w:tcW w:w="676" w:type="dxa"/>
            <w:vAlign w:val="center"/>
          </w:tcPr>
          <w:p>
            <w:pPr>
              <w:spacing w:line="240" w:lineRule="exact"/>
              <w:jc w:val="center"/>
              <w:rPr>
                <w:rFonts w:ascii="仿宋_GB2312" w:eastAsia="仿宋_GB2312"/>
                <w:color w:val="C00000"/>
                <w:sz w:val="24"/>
              </w:rPr>
            </w:pPr>
          </w:p>
        </w:tc>
        <w:tc>
          <w:tcPr>
            <w:tcW w:w="1233" w:type="dxa"/>
            <w:vAlign w:val="center"/>
          </w:tcPr>
          <w:p>
            <w:pPr>
              <w:spacing w:line="240" w:lineRule="exact"/>
              <w:jc w:val="center"/>
              <w:rPr>
                <w:rFonts w:ascii="仿宋_GB2312" w:eastAsia="仿宋_GB2312"/>
                <w:color w:val="C00000"/>
                <w:sz w:val="24"/>
              </w:rPr>
            </w:pPr>
          </w:p>
        </w:tc>
        <w:tc>
          <w:tcPr>
            <w:tcW w:w="800" w:type="dxa"/>
            <w:vAlign w:val="center"/>
          </w:tcPr>
          <w:p>
            <w:pPr>
              <w:spacing w:line="240" w:lineRule="exact"/>
              <w:jc w:val="center"/>
              <w:rPr>
                <w:rFonts w:ascii="仿宋_GB2312" w:eastAsia="仿宋_GB2312"/>
                <w:color w:val="C00000"/>
                <w:sz w:val="24"/>
              </w:rPr>
            </w:pPr>
          </w:p>
        </w:tc>
        <w:tc>
          <w:tcPr>
            <w:tcW w:w="800" w:type="dxa"/>
            <w:vAlign w:val="center"/>
          </w:tcPr>
          <w:p>
            <w:pPr>
              <w:spacing w:line="240" w:lineRule="exact"/>
              <w:jc w:val="center"/>
              <w:rPr>
                <w:rFonts w:ascii="仿宋_GB2312" w:eastAsia="仿宋_GB2312"/>
                <w:color w:val="C00000"/>
                <w:sz w:val="24"/>
              </w:rPr>
            </w:pPr>
          </w:p>
        </w:tc>
        <w:tc>
          <w:tcPr>
            <w:tcW w:w="645" w:type="dxa"/>
            <w:vAlign w:val="center"/>
          </w:tcPr>
          <w:p>
            <w:pPr>
              <w:spacing w:line="240" w:lineRule="exact"/>
              <w:jc w:val="center"/>
              <w:rPr>
                <w:rFonts w:ascii="仿宋_GB2312" w:eastAsia="仿宋_GB2312"/>
                <w:color w:val="C00000"/>
                <w:sz w:val="24"/>
              </w:rPr>
            </w:pPr>
          </w:p>
        </w:tc>
        <w:tc>
          <w:tcPr>
            <w:tcW w:w="721" w:type="dxa"/>
            <w:vAlign w:val="center"/>
          </w:tcPr>
          <w:p>
            <w:pPr>
              <w:spacing w:line="240" w:lineRule="exact"/>
              <w:jc w:val="center"/>
              <w:rPr>
                <w:rFonts w:ascii="仿宋_GB2312" w:eastAsia="仿宋_GB2312"/>
                <w:color w:val="C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672" w:type="dxa"/>
            <w:vAlign w:val="center"/>
          </w:tcPr>
          <w:p>
            <w:pPr>
              <w:spacing w:line="240" w:lineRule="exact"/>
              <w:jc w:val="center"/>
              <w:rPr>
                <w:rFonts w:ascii="仿宋_GB2312" w:eastAsia="仿宋_GB2312"/>
                <w:sz w:val="24"/>
              </w:rPr>
            </w:pPr>
            <w:r>
              <w:rPr>
                <w:rFonts w:hint="eastAsia" w:ascii="仿宋_GB2312" w:eastAsia="仿宋_GB2312"/>
                <w:sz w:val="24"/>
              </w:rPr>
              <w:t>合计</w:t>
            </w:r>
          </w:p>
        </w:tc>
        <w:tc>
          <w:tcPr>
            <w:tcW w:w="642" w:type="dxa"/>
            <w:vAlign w:val="center"/>
          </w:tcPr>
          <w:p>
            <w:pPr>
              <w:spacing w:line="240" w:lineRule="exact"/>
              <w:jc w:val="center"/>
              <w:rPr>
                <w:rFonts w:ascii="仿宋_GB2312" w:eastAsia="仿宋_GB2312"/>
                <w:sz w:val="24"/>
              </w:rPr>
            </w:pPr>
          </w:p>
        </w:tc>
        <w:tc>
          <w:tcPr>
            <w:tcW w:w="645" w:type="dxa"/>
            <w:vAlign w:val="center"/>
          </w:tcPr>
          <w:p>
            <w:pPr>
              <w:spacing w:line="240" w:lineRule="exact"/>
              <w:jc w:val="center"/>
              <w:rPr>
                <w:rFonts w:ascii="仿宋_GB2312" w:eastAsia="仿宋_GB2312"/>
                <w:sz w:val="24"/>
              </w:rPr>
            </w:pPr>
          </w:p>
        </w:tc>
        <w:tc>
          <w:tcPr>
            <w:tcW w:w="534" w:type="dxa"/>
            <w:vAlign w:val="center"/>
          </w:tcPr>
          <w:p>
            <w:pPr>
              <w:spacing w:line="240" w:lineRule="exact"/>
              <w:jc w:val="center"/>
              <w:rPr>
                <w:rFonts w:ascii="仿宋_GB2312" w:eastAsia="仿宋_GB2312"/>
                <w:sz w:val="24"/>
              </w:rPr>
            </w:pPr>
          </w:p>
        </w:tc>
        <w:tc>
          <w:tcPr>
            <w:tcW w:w="1028" w:type="dxa"/>
            <w:vAlign w:val="center"/>
          </w:tcPr>
          <w:p>
            <w:pPr>
              <w:spacing w:line="240" w:lineRule="exact"/>
              <w:jc w:val="center"/>
              <w:rPr>
                <w:rFonts w:ascii="仿宋_GB2312" w:eastAsia="仿宋_GB2312"/>
                <w:sz w:val="24"/>
              </w:rPr>
            </w:pPr>
          </w:p>
        </w:tc>
        <w:tc>
          <w:tcPr>
            <w:tcW w:w="507" w:type="dxa"/>
            <w:vAlign w:val="center"/>
          </w:tcPr>
          <w:p>
            <w:pPr>
              <w:spacing w:line="240" w:lineRule="exact"/>
              <w:jc w:val="center"/>
              <w:rPr>
                <w:rFonts w:ascii="仿宋_GB2312" w:eastAsia="仿宋_GB2312"/>
                <w:sz w:val="24"/>
              </w:rPr>
            </w:pPr>
          </w:p>
        </w:tc>
        <w:tc>
          <w:tcPr>
            <w:tcW w:w="880" w:type="dxa"/>
            <w:vAlign w:val="center"/>
          </w:tcPr>
          <w:p>
            <w:pPr>
              <w:spacing w:line="240" w:lineRule="exact"/>
              <w:jc w:val="center"/>
              <w:rPr>
                <w:rFonts w:ascii="仿宋_GB2312" w:eastAsia="仿宋_GB2312"/>
                <w:sz w:val="24"/>
              </w:rPr>
            </w:pPr>
          </w:p>
        </w:tc>
        <w:tc>
          <w:tcPr>
            <w:tcW w:w="728" w:type="dxa"/>
            <w:vAlign w:val="center"/>
          </w:tcPr>
          <w:p>
            <w:pPr>
              <w:spacing w:line="240" w:lineRule="exact"/>
              <w:jc w:val="center"/>
              <w:rPr>
                <w:rFonts w:ascii="仿宋_GB2312" w:eastAsia="仿宋_GB2312"/>
                <w:sz w:val="24"/>
              </w:rPr>
            </w:pPr>
          </w:p>
        </w:tc>
        <w:tc>
          <w:tcPr>
            <w:tcW w:w="1211" w:type="dxa"/>
            <w:vAlign w:val="center"/>
          </w:tcPr>
          <w:p>
            <w:pPr>
              <w:spacing w:line="240" w:lineRule="exact"/>
              <w:jc w:val="center"/>
              <w:rPr>
                <w:rFonts w:ascii="仿宋_GB2312" w:eastAsia="仿宋_GB2312"/>
                <w:sz w:val="24"/>
              </w:rPr>
            </w:pPr>
          </w:p>
        </w:tc>
        <w:tc>
          <w:tcPr>
            <w:tcW w:w="883" w:type="dxa"/>
            <w:vAlign w:val="center"/>
          </w:tcPr>
          <w:p>
            <w:pPr>
              <w:spacing w:line="240" w:lineRule="exact"/>
              <w:jc w:val="center"/>
              <w:rPr>
                <w:rFonts w:ascii="仿宋_GB2312" w:eastAsia="仿宋_GB2312"/>
                <w:sz w:val="24"/>
              </w:rPr>
            </w:pPr>
          </w:p>
        </w:tc>
        <w:tc>
          <w:tcPr>
            <w:tcW w:w="1089" w:type="dxa"/>
            <w:vAlign w:val="center"/>
          </w:tcPr>
          <w:p>
            <w:pPr>
              <w:spacing w:line="240" w:lineRule="exact"/>
              <w:jc w:val="center"/>
              <w:rPr>
                <w:rFonts w:ascii="仿宋_GB2312" w:eastAsia="仿宋_GB2312"/>
                <w:sz w:val="24"/>
              </w:rPr>
            </w:pPr>
          </w:p>
        </w:tc>
        <w:tc>
          <w:tcPr>
            <w:tcW w:w="676" w:type="dxa"/>
            <w:vAlign w:val="center"/>
          </w:tcPr>
          <w:p>
            <w:pPr>
              <w:spacing w:line="240" w:lineRule="exact"/>
              <w:jc w:val="center"/>
              <w:rPr>
                <w:rFonts w:ascii="仿宋_GB2312" w:eastAsia="仿宋_GB2312"/>
                <w:sz w:val="24"/>
              </w:rPr>
            </w:pPr>
          </w:p>
        </w:tc>
        <w:tc>
          <w:tcPr>
            <w:tcW w:w="676" w:type="dxa"/>
            <w:vAlign w:val="center"/>
          </w:tcPr>
          <w:p>
            <w:pPr>
              <w:spacing w:line="240" w:lineRule="exact"/>
              <w:jc w:val="center"/>
              <w:rPr>
                <w:rFonts w:ascii="仿宋_GB2312" w:eastAsia="仿宋_GB2312"/>
                <w:sz w:val="24"/>
              </w:rPr>
            </w:pPr>
          </w:p>
        </w:tc>
        <w:tc>
          <w:tcPr>
            <w:tcW w:w="1233" w:type="dxa"/>
            <w:vAlign w:val="center"/>
          </w:tcPr>
          <w:p>
            <w:pPr>
              <w:spacing w:line="240" w:lineRule="exact"/>
              <w:jc w:val="center"/>
              <w:rPr>
                <w:rFonts w:ascii="仿宋_GB2312" w:eastAsia="仿宋_GB2312"/>
                <w:sz w:val="24"/>
              </w:rPr>
            </w:pPr>
          </w:p>
        </w:tc>
        <w:tc>
          <w:tcPr>
            <w:tcW w:w="800" w:type="dxa"/>
            <w:vAlign w:val="center"/>
          </w:tcPr>
          <w:p>
            <w:pPr>
              <w:spacing w:line="240" w:lineRule="exact"/>
              <w:jc w:val="center"/>
              <w:rPr>
                <w:rFonts w:ascii="仿宋_GB2312" w:eastAsia="仿宋_GB2312"/>
                <w:sz w:val="24"/>
              </w:rPr>
            </w:pPr>
          </w:p>
        </w:tc>
        <w:tc>
          <w:tcPr>
            <w:tcW w:w="800" w:type="dxa"/>
            <w:vAlign w:val="center"/>
          </w:tcPr>
          <w:p>
            <w:pPr>
              <w:spacing w:line="240" w:lineRule="exact"/>
              <w:jc w:val="center"/>
              <w:rPr>
                <w:rFonts w:ascii="仿宋_GB2312" w:eastAsia="仿宋_GB2312"/>
                <w:sz w:val="24"/>
              </w:rPr>
            </w:pPr>
          </w:p>
        </w:tc>
        <w:tc>
          <w:tcPr>
            <w:tcW w:w="645" w:type="dxa"/>
            <w:vAlign w:val="center"/>
          </w:tcPr>
          <w:p>
            <w:pPr>
              <w:spacing w:line="240" w:lineRule="exact"/>
              <w:jc w:val="center"/>
              <w:rPr>
                <w:rFonts w:ascii="仿宋_GB2312" w:eastAsia="仿宋_GB2312"/>
                <w:sz w:val="24"/>
              </w:rPr>
            </w:pPr>
          </w:p>
        </w:tc>
        <w:tc>
          <w:tcPr>
            <w:tcW w:w="721" w:type="dxa"/>
            <w:vAlign w:val="center"/>
          </w:tcPr>
          <w:p>
            <w:pPr>
              <w:spacing w:line="240" w:lineRule="exact"/>
              <w:jc w:val="center"/>
              <w:rPr>
                <w:rFonts w:ascii="仿宋_GB2312" w:eastAsia="仿宋_GB2312"/>
                <w:sz w:val="24"/>
              </w:rPr>
            </w:pPr>
          </w:p>
        </w:tc>
      </w:tr>
    </w:tbl>
    <w:p>
      <w:pPr>
        <w:widowControl/>
        <w:spacing w:line="360" w:lineRule="auto"/>
        <w:jc w:val="left"/>
        <w:rPr>
          <w:rFonts w:ascii="黑体" w:hAnsi="黑体" w:eastAsia="黑体"/>
          <w:sz w:val="32"/>
          <w:szCs w:val="32"/>
        </w:rPr>
      </w:pPr>
    </w:p>
    <w:sectPr>
      <w:pgSz w:w="16838" w:h="11906" w:orient="landscape"/>
      <w:pgMar w:top="737" w:right="1440" w:bottom="737" w:left="1440" w:header="851" w:footer="992" w:gutter="0"/>
      <w:cols w:space="720" w:num="1"/>
      <w:docGrid w:linePitch="312" w:charSpace="2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10006FF" w:usb1="4000205B" w:usb2="00000010" w:usb3="00000000" w:csb0="2000019F" w:csb1="00000000"/>
  </w:font>
  <w:font w:name="仿宋_GB2312">
    <w:altName w:val="仿宋"/>
    <w:panose1 w:val="02010609030101010101"/>
    <w:charset w:val="86"/>
    <w:family w:val="auto"/>
    <w:pitch w:val="default"/>
    <w:sig w:usb0="00000001" w:usb1="080E0000" w:usb2="00000010" w:usb3="00000000" w:csb0="00040000" w:csb1="00000000"/>
  </w:font>
  <w:font w:name="Calibri">
    <w:panose1 w:val="020F0502020204030204"/>
    <w:charset w:val="00"/>
    <w:family w:val="auto"/>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jc w:val="center"/>
    </w:pPr>
    <w:r>
      <w:fldChar w:fldCharType="begin"/>
    </w:r>
    <w:r>
      <w:instrText xml:space="preserve"> PAGE   \* MERGEFORMAT </w:instrText>
    </w:r>
    <w:r>
      <w:fldChar w:fldCharType="separate"/>
    </w:r>
    <w:r>
      <w:t>4</w: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02314497">
    <w:nsid w:val="3BBE1B01"/>
    <w:multiLevelType w:val="multilevel"/>
    <w:tmpl w:val="3BBE1B01"/>
    <w:lvl w:ilvl="0" w:tentative="1">
      <w:start w:val="1"/>
      <w:numFmt w:val="japaneseCounting"/>
      <w:lvlText w:val="%1、"/>
      <w:lvlJc w:val="left"/>
      <w:pPr>
        <w:ind w:left="1360" w:hanging="720"/>
      </w:pPr>
      <w:rPr>
        <w:rFonts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num w:numId="1">
    <w:abstractNumId w:val="100231449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000CC"/>
    <w:rsid w:val="00000879"/>
    <w:rsid w:val="00000A43"/>
    <w:rsid w:val="00001A73"/>
    <w:rsid w:val="0000256B"/>
    <w:rsid w:val="00002694"/>
    <w:rsid w:val="0000647E"/>
    <w:rsid w:val="00010ED1"/>
    <w:rsid w:val="00011719"/>
    <w:rsid w:val="00012887"/>
    <w:rsid w:val="000139A8"/>
    <w:rsid w:val="0001468D"/>
    <w:rsid w:val="0001579C"/>
    <w:rsid w:val="00015C97"/>
    <w:rsid w:val="000204AE"/>
    <w:rsid w:val="00020915"/>
    <w:rsid w:val="00020B24"/>
    <w:rsid w:val="00022F55"/>
    <w:rsid w:val="00023697"/>
    <w:rsid w:val="00024A6F"/>
    <w:rsid w:val="00026439"/>
    <w:rsid w:val="000300C2"/>
    <w:rsid w:val="0003509E"/>
    <w:rsid w:val="0003523D"/>
    <w:rsid w:val="00036327"/>
    <w:rsid w:val="00036410"/>
    <w:rsid w:val="00036557"/>
    <w:rsid w:val="00037B59"/>
    <w:rsid w:val="00040617"/>
    <w:rsid w:val="000431BB"/>
    <w:rsid w:val="000507A7"/>
    <w:rsid w:val="00050C4A"/>
    <w:rsid w:val="000513EE"/>
    <w:rsid w:val="00057432"/>
    <w:rsid w:val="0005779A"/>
    <w:rsid w:val="00062613"/>
    <w:rsid w:val="00062640"/>
    <w:rsid w:val="00063B60"/>
    <w:rsid w:val="00063E82"/>
    <w:rsid w:val="00070BB2"/>
    <w:rsid w:val="00072600"/>
    <w:rsid w:val="00073BAD"/>
    <w:rsid w:val="00074746"/>
    <w:rsid w:val="000748D6"/>
    <w:rsid w:val="000767D1"/>
    <w:rsid w:val="00077517"/>
    <w:rsid w:val="00080C97"/>
    <w:rsid w:val="00082A11"/>
    <w:rsid w:val="000835C0"/>
    <w:rsid w:val="00083C84"/>
    <w:rsid w:val="000866D5"/>
    <w:rsid w:val="00090FFD"/>
    <w:rsid w:val="00094642"/>
    <w:rsid w:val="000961DA"/>
    <w:rsid w:val="00096EEC"/>
    <w:rsid w:val="00097CEA"/>
    <w:rsid w:val="000A46DD"/>
    <w:rsid w:val="000A6409"/>
    <w:rsid w:val="000A6E78"/>
    <w:rsid w:val="000A70C5"/>
    <w:rsid w:val="000A74BC"/>
    <w:rsid w:val="000A76AA"/>
    <w:rsid w:val="000B24CF"/>
    <w:rsid w:val="000B2BE1"/>
    <w:rsid w:val="000B4992"/>
    <w:rsid w:val="000B60F2"/>
    <w:rsid w:val="000B70C6"/>
    <w:rsid w:val="000B76EB"/>
    <w:rsid w:val="000C4150"/>
    <w:rsid w:val="000C614B"/>
    <w:rsid w:val="000C79DB"/>
    <w:rsid w:val="000D0B7F"/>
    <w:rsid w:val="000D0E0F"/>
    <w:rsid w:val="000D10E4"/>
    <w:rsid w:val="000D12DE"/>
    <w:rsid w:val="000D692A"/>
    <w:rsid w:val="000D6ED7"/>
    <w:rsid w:val="000D718C"/>
    <w:rsid w:val="000D7F0B"/>
    <w:rsid w:val="000E20E3"/>
    <w:rsid w:val="000E491F"/>
    <w:rsid w:val="000E4E3C"/>
    <w:rsid w:val="000E50A6"/>
    <w:rsid w:val="000E6179"/>
    <w:rsid w:val="000F59E0"/>
    <w:rsid w:val="000F7AE0"/>
    <w:rsid w:val="001006D8"/>
    <w:rsid w:val="00101218"/>
    <w:rsid w:val="00101A3F"/>
    <w:rsid w:val="00102793"/>
    <w:rsid w:val="001032DE"/>
    <w:rsid w:val="0010609E"/>
    <w:rsid w:val="001064C1"/>
    <w:rsid w:val="00106B60"/>
    <w:rsid w:val="00106E16"/>
    <w:rsid w:val="00110D61"/>
    <w:rsid w:val="001111C2"/>
    <w:rsid w:val="00113AE7"/>
    <w:rsid w:val="001140A2"/>
    <w:rsid w:val="0011547A"/>
    <w:rsid w:val="0011596C"/>
    <w:rsid w:val="00117AAB"/>
    <w:rsid w:val="00121632"/>
    <w:rsid w:val="00121951"/>
    <w:rsid w:val="00121C36"/>
    <w:rsid w:val="00121C58"/>
    <w:rsid w:val="00121F89"/>
    <w:rsid w:val="00122A8A"/>
    <w:rsid w:val="001240DF"/>
    <w:rsid w:val="0012451A"/>
    <w:rsid w:val="001309B7"/>
    <w:rsid w:val="0013483F"/>
    <w:rsid w:val="00137110"/>
    <w:rsid w:val="001418CA"/>
    <w:rsid w:val="0014272D"/>
    <w:rsid w:val="001447F9"/>
    <w:rsid w:val="00146B1E"/>
    <w:rsid w:val="00150374"/>
    <w:rsid w:val="00153982"/>
    <w:rsid w:val="00157322"/>
    <w:rsid w:val="0015745B"/>
    <w:rsid w:val="00163E37"/>
    <w:rsid w:val="00167A77"/>
    <w:rsid w:val="0017002E"/>
    <w:rsid w:val="001707C6"/>
    <w:rsid w:val="00170991"/>
    <w:rsid w:val="00172A27"/>
    <w:rsid w:val="0017313D"/>
    <w:rsid w:val="0017332B"/>
    <w:rsid w:val="00175193"/>
    <w:rsid w:val="001759D4"/>
    <w:rsid w:val="00175EA7"/>
    <w:rsid w:val="00180560"/>
    <w:rsid w:val="00182C53"/>
    <w:rsid w:val="00183AC8"/>
    <w:rsid w:val="00185AE2"/>
    <w:rsid w:val="00191384"/>
    <w:rsid w:val="0019176E"/>
    <w:rsid w:val="001939C6"/>
    <w:rsid w:val="00194B96"/>
    <w:rsid w:val="00196DCC"/>
    <w:rsid w:val="001974AC"/>
    <w:rsid w:val="00197C13"/>
    <w:rsid w:val="00197FE8"/>
    <w:rsid w:val="001A5AC5"/>
    <w:rsid w:val="001A7673"/>
    <w:rsid w:val="001B173D"/>
    <w:rsid w:val="001B2707"/>
    <w:rsid w:val="001B3DD7"/>
    <w:rsid w:val="001B4C5F"/>
    <w:rsid w:val="001B7A82"/>
    <w:rsid w:val="001C0238"/>
    <w:rsid w:val="001C1186"/>
    <w:rsid w:val="001C12B7"/>
    <w:rsid w:val="001C1FCB"/>
    <w:rsid w:val="001C319D"/>
    <w:rsid w:val="001C3AFB"/>
    <w:rsid w:val="001C551B"/>
    <w:rsid w:val="001C686D"/>
    <w:rsid w:val="001C696C"/>
    <w:rsid w:val="001C6D7E"/>
    <w:rsid w:val="001D08A4"/>
    <w:rsid w:val="001D0EA8"/>
    <w:rsid w:val="001D15C6"/>
    <w:rsid w:val="001D39D9"/>
    <w:rsid w:val="001D3F07"/>
    <w:rsid w:val="001D605B"/>
    <w:rsid w:val="001E11B3"/>
    <w:rsid w:val="001E2FBA"/>
    <w:rsid w:val="001F0D46"/>
    <w:rsid w:val="001F3427"/>
    <w:rsid w:val="001F3540"/>
    <w:rsid w:val="001F63CD"/>
    <w:rsid w:val="001F66B5"/>
    <w:rsid w:val="001F673F"/>
    <w:rsid w:val="002002BB"/>
    <w:rsid w:val="00200416"/>
    <w:rsid w:val="002013FC"/>
    <w:rsid w:val="00201856"/>
    <w:rsid w:val="00202444"/>
    <w:rsid w:val="00202785"/>
    <w:rsid w:val="00210321"/>
    <w:rsid w:val="002109A7"/>
    <w:rsid w:val="00212A5A"/>
    <w:rsid w:val="00213043"/>
    <w:rsid w:val="00213784"/>
    <w:rsid w:val="00215014"/>
    <w:rsid w:val="0021535A"/>
    <w:rsid w:val="00216573"/>
    <w:rsid w:val="00216970"/>
    <w:rsid w:val="00217CFA"/>
    <w:rsid w:val="00220239"/>
    <w:rsid w:val="0022176E"/>
    <w:rsid w:val="002235E3"/>
    <w:rsid w:val="002248AD"/>
    <w:rsid w:val="00225A47"/>
    <w:rsid w:val="00231FAA"/>
    <w:rsid w:val="0023310A"/>
    <w:rsid w:val="002361F4"/>
    <w:rsid w:val="00236E94"/>
    <w:rsid w:val="00237B78"/>
    <w:rsid w:val="00240E53"/>
    <w:rsid w:val="00241115"/>
    <w:rsid w:val="00241B90"/>
    <w:rsid w:val="00244D07"/>
    <w:rsid w:val="00245618"/>
    <w:rsid w:val="00245CE8"/>
    <w:rsid w:val="00247F25"/>
    <w:rsid w:val="00250109"/>
    <w:rsid w:val="00250455"/>
    <w:rsid w:val="002529D6"/>
    <w:rsid w:val="0025410E"/>
    <w:rsid w:val="00257BEE"/>
    <w:rsid w:val="00262CE5"/>
    <w:rsid w:val="002651D6"/>
    <w:rsid w:val="002724D7"/>
    <w:rsid w:val="00272F4E"/>
    <w:rsid w:val="00273531"/>
    <w:rsid w:val="00273F32"/>
    <w:rsid w:val="002754F6"/>
    <w:rsid w:val="00280A88"/>
    <w:rsid w:val="00284029"/>
    <w:rsid w:val="002866C6"/>
    <w:rsid w:val="00286D0E"/>
    <w:rsid w:val="002909B1"/>
    <w:rsid w:val="00290CC4"/>
    <w:rsid w:val="0029285C"/>
    <w:rsid w:val="0029553A"/>
    <w:rsid w:val="0029578F"/>
    <w:rsid w:val="00296618"/>
    <w:rsid w:val="00296F2C"/>
    <w:rsid w:val="00297186"/>
    <w:rsid w:val="002A01A3"/>
    <w:rsid w:val="002A07B7"/>
    <w:rsid w:val="002A20AA"/>
    <w:rsid w:val="002A3980"/>
    <w:rsid w:val="002A4B99"/>
    <w:rsid w:val="002A7759"/>
    <w:rsid w:val="002B201C"/>
    <w:rsid w:val="002B5FCB"/>
    <w:rsid w:val="002B6FB3"/>
    <w:rsid w:val="002B7BD2"/>
    <w:rsid w:val="002C0484"/>
    <w:rsid w:val="002C1D15"/>
    <w:rsid w:val="002C27E6"/>
    <w:rsid w:val="002C460F"/>
    <w:rsid w:val="002C4B29"/>
    <w:rsid w:val="002C4CC9"/>
    <w:rsid w:val="002D249F"/>
    <w:rsid w:val="002D3E95"/>
    <w:rsid w:val="002D494B"/>
    <w:rsid w:val="002D6805"/>
    <w:rsid w:val="002D6EB3"/>
    <w:rsid w:val="002D717C"/>
    <w:rsid w:val="002E1CD2"/>
    <w:rsid w:val="002E230F"/>
    <w:rsid w:val="002E2505"/>
    <w:rsid w:val="002E2635"/>
    <w:rsid w:val="002E466A"/>
    <w:rsid w:val="002E756E"/>
    <w:rsid w:val="002F67CF"/>
    <w:rsid w:val="00303DA3"/>
    <w:rsid w:val="003043F3"/>
    <w:rsid w:val="00304BE8"/>
    <w:rsid w:val="00306B4C"/>
    <w:rsid w:val="00312C8A"/>
    <w:rsid w:val="003131D5"/>
    <w:rsid w:val="0031411B"/>
    <w:rsid w:val="0032141E"/>
    <w:rsid w:val="00324236"/>
    <w:rsid w:val="00326BB2"/>
    <w:rsid w:val="00326E31"/>
    <w:rsid w:val="003278F4"/>
    <w:rsid w:val="003304F8"/>
    <w:rsid w:val="00330B83"/>
    <w:rsid w:val="00331884"/>
    <w:rsid w:val="00333CBC"/>
    <w:rsid w:val="00340819"/>
    <w:rsid w:val="0034556B"/>
    <w:rsid w:val="00347CF1"/>
    <w:rsid w:val="00351349"/>
    <w:rsid w:val="003518E7"/>
    <w:rsid w:val="00352055"/>
    <w:rsid w:val="00353915"/>
    <w:rsid w:val="0035536A"/>
    <w:rsid w:val="00361EA7"/>
    <w:rsid w:val="003623DC"/>
    <w:rsid w:val="00362498"/>
    <w:rsid w:val="00362D40"/>
    <w:rsid w:val="003630B9"/>
    <w:rsid w:val="003631DC"/>
    <w:rsid w:val="0036666B"/>
    <w:rsid w:val="003673EB"/>
    <w:rsid w:val="003717FA"/>
    <w:rsid w:val="00371FF7"/>
    <w:rsid w:val="00374AC2"/>
    <w:rsid w:val="00374B27"/>
    <w:rsid w:val="00375847"/>
    <w:rsid w:val="003759B1"/>
    <w:rsid w:val="003768F9"/>
    <w:rsid w:val="00377BD0"/>
    <w:rsid w:val="00382162"/>
    <w:rsid w:val="0038692C"/>
    <w:rsid w:val="00386A19"/>
    <w:rsid w:val="00387221"/>
    <w:rsid w:val="00387F61"/>
    <w:rsid w:val="003908D7"/>
    <w:rsid w:val="00390F2F"/>
    <w:rsid w:val="0039121E"/>
    <w:rsid w:val="00394104"/>
    <w:rsid w:val="00395070"/>
    <w:rsid w:val="0039516E"/>
    <w:rsid w:val="00396E9B"/>
    <w:rsid w:val="00397A3D"/>
    <w:rsid w:val="003A247C"/>
    <w:rsid w:val="003A267F"/>
    <w:rsid w:val="003A2F9B"/>
    <w:rsid w:val="003A2FF7"/>
    <w:rsid w:val="003A388E"/>
    <w:rsid w:val="003A548F"/>
    <w:rsid w:val="003A6070"/>
    <w:rsid w:val="003B061A"/>
    <w:rsid w:val="003B0875"/>
    <w:rsid w:val="003B1F7B"/>
    <w:rsid w:val="003B2BF9"/>
    <w:rsid w:val="003B46E3"/>
    <w:rsid w:val="003B4988"/>
    <w:rsid w:val="003B541D"/>
    <w:rsid w:val="003B5FD3"/>
    <w:rsid w:val="003B661A"/>
    <w:rsid w:val="003C0BAA"/>
    <w:rsid w:val="003C674C"/>
    <w:rsid w:val="003D0B6F"/>
    <w:rsid w:val="003D137E"/>
    <w:rsid w:val="003D4094"/>
    <w:rsid w:val="003D4A1E"/>
    <w:rsid w:val="003E0CD6"/>
    <w:rsid w:val="003E2201"/>
    <w:rsid w:val="003E3798"/>
    <w:rsid w:val="003E3E0E"/>
    <w:rsid w:val="003E3F3C"/>
    <w:rsid w:val="003E4648"/>
    <w:rsid w:val="003E4BA0"/>
    <w:rsid w:val="003E5A8C"/>
    <w:rsid w:val="003E74FB"/>
    <w:rsid w:val="003F3019"/>
    <w:rsid w:val="003F4B47"/>
    <w:rsid w:val="003F6370"/>
    <w:rsid w:val="003F688B"/>
    <w:rsid w:val="00404131"/>
    <w:rsid w:val="00404DBF"/>
    <w:rsid w:val="004058DF"/>
    <w:rsid w:val="00406842"/>
    <w:rsid w:val="00406905"/>
    <w:rsid w:val="004103A6"/>
    <w:rsid w:val="0041459D"/>
    <w:rsid w:val="00414E31"/>
    <w:rsid w:val="00416263"/>
    <w:rsid w:val="00416AD2"/>
    <w:rsid w:val="0041794C"/>
    <w:rsid w:val="00420714"/>
    <w:rsid w:val="004216C1"/>
    <w:rsid w:val="0042335C"/>
    <w:rsid w:val="00424AA0"/>
    <w:rsid w:val="00426847"/>
    <w:rsid w:val="004270F7"/>
    <w:rsid w:val="0043347B"/>
    <w:rsid w:val="00433A32"/>
    <w:rsid w:val="0043563B"/>
    <w:rsid w:val="0043675E"/>
    <w:rsid w:val="00436D02"/>
    <w:rsid w:val="00437691"/>
    <w:rsid w:val="00440232"/>
    <w:rsid w:val="004413E0"/>
    <w:rsid w:val="00441500"/>
    <w:rsid w:val="0044154A"/>
    <w:rsid w:val="00441C31"/>
    <w:rsid w:val="00442545"/>
    <w:rsid w:val="0044616B"/>
    <w:rsid w:val="00446C7D"/>
    <w:rsid w:val="00447567"/>
    <w:rsid w:val="00450EA2"/>
    <w:rsid w:val="0045545F"/>
    <w:rsid w:val="00456299"/>
    <w:rsid w:val="00456347"/>
    <w:rsid w:val="00460B0D"/>
    <w:rsid w:val="00460DAC"/>
    <w:rsid w:val="00463D45"/>
    <w:rsid w:val="004665C2"/>
    <w:rsid w:val="004704DA"/>
    <w:rsid w:val="00470F6B"/>
    <w:rsid w:val="00472F78"/>
    <w:rsid w:val="00474D07"/>
    <w:rsid w:val="00477A6F"/>
    <w:rsid w:val="00481754"/>
    <w:rsid w:val="00482543"/>
    <w:rsid w:val="004825B5"/>
    <w:rsid w:val="00483C05"/>
    <w:rsid w:val="004854CF"/>
    <w:rsid w:val="00485C7C"/>
    <w:rsid w:val="004868B8"/>
    <w:rsid w:val="00491802"/>
    <w:rsid w:val="0049469D"/>
    <w:rsid w:val="004A2A45"/>
    <w:rsid w:val="004A66B2"/>
    <w:rsid w:val="004A6B6D"/>
    <w:rsid w:val="004B0B5F"/>
    <w:rsid w:val="004B2C37"/>
    <w:rsid w:val="004B2F8B"/>
    <w:rsid w:val="004B36A6"/>
    <w:rsid w:val="004B3FC4"/>
    <w:rsid w:val="004B5221"/>
    <w:rsid w:val="004B6357"/>
    <w:rsid w:val="004B6734"/>
    <w:rsid w:val="004B724A"/>
    <w:rsid w:val="004B7688"/>
    <w:rsid w:val="004C0452"/>
    <w:rsid w:val="004C08EA"/>
    <w:rsid w:val="004C0B82"/>
    <w:rsid w:val="004C5C1E"/>
    <w:rsid w:val="004C737B"/>
    <w:rsid w:val="004C7873"/>
    <w:rsid w:val="004C7F0D"/>
    <w:rsid w:val="004D056F"/>
    <w:rsid w:val="004D1F43"/>
    <w:rsid w:val="004D408E"/>
    <w:rsid w:val="004D6560"/>
    <w:rsid w:val="004D6B7A"/>
    <w:rsid w:val="004E0E83"/>
    <w:rsid w:val="004E141C"/>
    <w:rsid w:val="004E171D"/>
    <w:rsid w:val="004E1822"/>
    <w:rsid w:val="004E1845"/>
    <w:rsid w:val="004E2BC3"/>
    <w:rsid w:val="004E33F6"/>
    <w:rsid w:val="004E4DD0"/>
    <w:rsid w:val="004E6494"/>
    <w:rsid w:val="004F35EA"/>
    <w:rsid w:val="004F4308"/>
    <w:rsid w:val="004F67AE"/>
    <w:rsid w:val="004F6872"/>
    <w:rsid w:val="004F715C"/>
    <w:rsid w:val="004F7555"/>
    <w:rsid w:val="00500733"/>
    <w:rsid w:val="00502E6B"/>
    <w:rsid w:val="00503E69"/>
    <w:rsid w:val="0050422A"/>
    <w:rsid w:val="00507230"/>
    <w:rsid w:val="00510688"/>
    <w:rsid w:val="00511F6C"/>
    <w:rsid w:val="00512488"/>
    <w:rsid w:val="00513C86"/>
    <w:rsid w:val="00516717"/>
    <w:rsid w:val="00517922"/>
    <w:rsid w:val="0052179A"/>
    <w:rsid w:val="00521C22"/>
    <w:rsid w:val="00521FA6"/>
    <w:rsid w:val="00522AC5"/>
    <w:rsid w:val="00527906"/>
    <w:rsid w:val="00527A02"/>
    <w:rsid w:val="00530214"/>
    <w:rsid w:val="005304C3"/>
    <w:rsid w:val="005309B0"/>
    <w:rsid w:val="005321DA"/>
    <w:rsid w:val="00532442"/>
    <w:rsid w:val="00533260"/>
    <w:rsid w:val="00533B58"/>
    <w:rsid w:val="00534F8D"/>
    <w:rsid w:val="0053673E"/>
    <w:rsid w:val="0054136D"/>
    <w:rsid w:val="005417B1"/>
    <w:rsid w:val="005423AF"/>
    <w:rsid w:val="00546040"/>
    <w:rsid w:val="00552585"/>
    <w:rsid w:val="00553B73"/>
    <w:rsid w:val="00553FEC"/>
    <w:rsid w:val="00555B7A"/>
    <w:rsid w:val="0055617D"/>
    <w:rsid w:val="00557C8C"/>
    <w:rsid w:val="005611D3"/>
    <w:rsid w:val="005631C3"/>
    <w:rsid w:val="00564D1B"/>
    <w:rsid w:val="00564F3E"/>
    <w:rsid w:val="00565C19"/>
    <w:rsid w:val="0057221E"/>
    <w:rsid w:val="00573B3E"/>
    <w:rsid w:val="00575990"/>
    <w:rsid w:val="00580221"/>
    <w:rsid w:val="005855A8"/>
    <w:rsid w:val="0059031F"/>
    <w:rsid w:val="0059126E"/>
    <w:rsid w:val="005A066A"/>
    <w:rsid w:val="005A0F0D"/>
    <w:rsid w:val="005A160F"/>
    <w:rsid w:val="005A1BB2"/>
    <w:rsid w:val="005A344D"/>
    <w:rsid w:val="005A53BB"/>
    <w:rsid w:val="005A5574"/>
    <w:rsid w:val="005A7243"/>
    <w:rsid w:val="005B0C53"/>
    <w:rsid w:val="005B0C86"/>
    <w:rsid w:val="005B3293"/>
    <w:rsid w:val="005B3E70"/>
    <w:rsid w:val="005B58B7"/>
    <w:rsid w:val="005B6564"/>
    <w:rsid w:val="005C48C2"/>
    <w:rsid w:val="005C6F13"/>
    <w:rsid w:val="005D10A2"/>
    <w:rsid w:val="005D421E"/>
    <w:rsid w:val="005D6C93"/>
    <w:rsid w:val="005E0709"/>
    <w:rsid w:val="005E0A3A"/>
    <w:rsid w:val="005E3EF3"/>
    <w:rsid w:val="005E6BD9"/>
    <w:rsid w:val="005E7859"/>
    <w:rsid w:val="005F1465"/>
    <w:rsid w:val="005F319A"/>
    <w:rsid w:val="005F60A5"/>
    <w:rsid w:val="005F77FB"/>
    <w:rsid w:val="005F7AC0"/>
    <w:rsid w:val="005F7DFB"/>
    <w:rsid w:val="005F7F3E"/>
    <w:rsid w:val="006009F0"/>
    <w:rsid w:val="00600D25"/>
    <w:rsid w:val="00601FBC"/>
    <w:rsid w:val="00602CC5"/>
    <w:rsid w:val="00602FBC"/>
    <w:rsid w:val="00614F7E"/>
    <w:rsid w:val="00615CD4"/>
    <w:rsid w:val="0061655A"/>
    <w:rsid w:val="00616E1B"/>
    <w:rsid w:val="00616E50"/>
    <w:rsid w:val="00617E0F"/>
    <w:rsid w:val="00620497"/>
    <w:rsid w:val="006207D1"/>
    <w:rsid w:val="006240B4"/>
    <w:rsid w:val="0063191E"/>
    <w:rsid w:val="00631FEA"/>
    <w:rsid w:val="00634ABB"/>
    <w:rsid w:val="0063510F"/>
    <w:rsid w:val="006359B9"/>
    <w:rsid w:val="006375C6"/>
    <w:rsid w:val="00637977"/>
    <w:rsid w:val="00640079"/>
    <w:rsid w:val="00640080"/>
    <w:rsid w:val="006410CF"/>
    <w:rsid w:val="006415F8"/>
    <w:rsid w:val="00641B9B"/>
    <w:rsid w:val="00643AC7"/>
    <w:rsid w:val="006456F3"/>
    <w:rsid w:val="0064771C"/>
    <w:rsid w:val="00647C1B"/>
    <w:rsid w:val="00650CB9"/>
    <w:rsid w:val="00653213"/>
    <w:rsid w:val="0065614D"/>
    <w:rsid w:val="006611BA"/>
    <w:rsid w:val="006623CC"/>
    <w:rsid w:val="00662A24"/>
    <w:rsid w:val="00663293"/>
    <w:rsid w:val="006650CC"/>
    <w:rsid w:val="00666A9D"/>
    <w:rsid w:val="006676B2"/>
    <w:rsid w:val="00667D7A"/>
    <w:rsid w:val="00667E7C"/>
    <w:rsid w:val="00674113"/>
    <w:rsid w:val="0067422D"/>
    <w:rsid w:val="00674B2B"/>
    <w:rsid w:val="006753FF"/>
    <w:rsid w:val="006756F6"/>
    <w:rsid w:val="00676082"/>
    <w:rsid w:val="00676086"/>
    <w:rsid w:val="0067613D"/>
    <w:rsid w:val="006761CB"/>
    <w:rsid w:val="006771EB"/>
    <w:rsid w:val="00680196"/>
    <w:rsid w:val="00680F7F"/>
    <w:rsid w:val="006816AF"/>
    <w:rsid w:val="006821E6"/>
    <w:rsid w:val="00682C9C"/>
    <w:rsid w:val="00683CA0"/>
    <w:rsid w:val="00683F47"/>
    <w:rsid w:val="00685576"/>
    <w:rsid w:val="006865A8"/>
    <w:rsid w:val="00686699"/>
    <w:rsid w:val="00687297"/>
    <w:rsid w:val="00690553"/>
    <w:rsid w:val="00690DA7"/>
    <w:rsid w:val="00692341"/>
    <w:rsid w:val="00693EA4"/>
    <w:rsid w:val="00694920"/>
    <w:rsid w:val="00696733"/>
    <w:rsid w:val="00696A19"/>
    <w:rsid w:val="006A1433"/>
    <w:rsid w:val="006A5EA6"/>
    <w:rsid w:val="006A66BA"/>
    <w:rsid w:val="006A7223"/>
    <w:rsid w:val="006A72BD"/>
    <w:rsid w:val="006B1C66"/>
    <w:rsid w:val="006B2094"/>
    <w:rsid w:val="006B225F"/>
    <w:rsid w:val="006B260B"/>
    <w:rsid w:val="006B357F"/>
    <w:rsid w:val="006B3CFC"/>
    <w:rsid w:val="006B5B58"/>
    <w:rsid w:val="006B5E5E"/>
    <w:rsid w:val="006B65A6"/>
    <w:rsid w:val="006B6A54"/>
    <w:rsid w:val="006C193F"/>
    <w:rsid w:val="006C274B"/>
    <w:rsid w:val="006C2849"/>
    <w:rsid w:val="006C2D26"/>
    <w:rsid w:val="006C5872"/>
    <w:rsid w:val="006C6FC2"/>
    <w:rsid w:val="006C760D"/>
    <w:rsid w:val="006D05AD"/>
    <w:rsid w:val="006D133B"/>
    <w:rsid w:val="006D16E4"/>
    <w:rsid w:val="006D1AE1"/>
    <w:rsid w:val="006D22A3"/>
    <w:rsid w:val="006D244F"/>
    <w:rsid w:val="006D2483"/>
    <w:rsid w:val="006D34D4"/>
    <w:rsid w:val="006D4675"/>
    <w:rsid w:val="006D4998"/>
    <w:rsid w:val="006D543B"/>
    <w:rsid w:val="006D7FD6"/>
    <w:rsid w:val="006E000C"/>
    <w:rsid w:val="006E074C"/>
    <w:rsid w:val="006E10AD"/>
    <w:rsid w:val="006E2907"/>
    <w:rsid w:val="006E2A57"/>
    <w:rsid w:val="006E41B5"/>
    <w:rsid w:val="006E70C5"/>
    <w:rsid w:val="006E7F82"/>
    <w:rsid w:val="006F21A2"/>
    <w:rsid w:val="006F2D6C"/>
    <w:rsid w:val="006F4EFF"/>
    <w:rsid w:val="006F5AD7"/>
    <w:rsid w:val="00701D44"/>
    <w:rsid w:val="007025E2"/>
    <w:rsid w:val="00703EF7"/>
    <w:rsid w:val="007056FC"/>
    <w:rsid w:val="00705C92"/>
    <w:rsid w:val="00706E35"/>
    <w:rsid w:val="007075AB"/>
    <w:rsid w:val="007101D4"/>
    <w:rsid w:val="007118BA"/>
    <w:rsid w:val="0071775A"/>
    <w:rsid w:val="00720662"/>
    <w:rsid w:val="007240DD"/>
    <w:rsid w:val="00724615"/>
    <w:rsid w:val="007247D9"/>
    <w:rsid w:val="0072577C"/>
    <w:rsid w:val="00725CE3"/>
    <w:rsid w:val="00725E67"/>
    <w:rsid w:val="007260F8"/>
    <w:rsid w:val="007264F3"/>
    <w:rsid w:val="0073270D"/>
    <w:rsid w:val="00733DAA"/>
    <w:rsid w:val="0073496D"/>
    <w:rsid w:val="0073646B"/>
    <w:rsid w:val="00736A88"/>
    <w:rsid w:val="0074016E"/>
    <w:rsid w:val="007453CD"/>
    <w:rsid w:val="00745DCA"/>
    <w:rsid w:val="00746673"/>
    <w:rsid w:val="00752666"/>
    <w:rsid w:val="00752A83"/>
    <w:rsid w:val="00752B1C"/>
    <w:rsid w:val="00752C01"/>
    <w:rsid w:val="007552AB"/>
    <w:rsid w:val="00756113"/>
    <w:rsid w:val="00760754"/>
    <w:rsid w:val="00760CFE"/>
    <w:rsid w:val="00763093"/>
    <w:rsid w:val="00766334"/>
    <w:rsid w:val="00766F4C"/>
    <w:rsid w:val="00767633"/>
    <w:rsid w:val="00770CED"/>
    <w:rsid w:val="00772751"/>
    <w:rsid w:val="0077448C"/>
    <w:rsid w:val="00780111"/>
    <w:rsid w:val="00780C5C"/>
    <w:rsid w:val="00780F34"/>
    <w:rsid w:val="00781F15"/>
    <w:rsid w:val="00782659"/>
    <w:rsid w:val="007832C2"/>
    <w:rsid w:val="0078368D"/>
    <w:rsid w:val="00783D03"/>
    <w:rsid w:val="00784A9F"/>
    <w:rsid w:val="00784D2D"/>
    <w:rsid w:val="00787F3E"/>
    <w:rsid w:val="0079275E"/>
    <w:rsid w:val="00795256"/>
    <w:rsid w:val="00796F65"/>
    <w:rsid w:val="00797264"/>
    <w:rsid w:val="00797A7D"/>
    <w:rsid w:val="007A151E"/>
    <w:rsid w:val="007A2B1E"/>
    <w:rsid w:val="007A5E0F"/>
    <w:rsid w:val="007A5FA9"/>
    <w:rsid w:val="007A60D6"/>
    <w:rsid w:val="007B1895"/>
    <w:rsid w:val="007B2E5A"/>
    <w:rsid w:val="007B315C"/>
    <w:rsid w:val="007B42F6"/>
    <w:rsid w:val="007B5E53"/>
    <w:rsid w:val="007C014E"/>
    <w:rsid w:val="007C06EF"/>
    <w:rsid w:val="007C1AFC"/>
    <w:rsid w:val="007C3E4A"/>
    <w:rsid w:val="007C3F48"/>
    <w:rsid w:val="007C524B"/>
    <w:rsid w:val="007C5ED2"/>
    <w:rsid w:val="007D05EE"/>
    <w:rsid w:val="007D0907"/>
    <w:rsid w:val="007D0DEE"/>
    <w:rsid w:val="007D2449"/>
    <w:rsid w:val="007D254E"/>
    <w:rsid w:val="007E10BD"/>
    <w:rsid w:val="007E2EE8"/>
    <w:rsid w:val="007E69AF"/>
    <w:rsid w:val="007E6D28"/>
    <w:rsid w:val="007E76B8"/>
    <w:rsid w:val="007F0188"/>
    <w:rsid w:val="007F3EB6"/>
    <w:rsid w:val="007F40FA"/>
    <w:rsid w:val="007F6AA5"/>
    <w:rsid w:val="00801843"/>
    <w:rsid w:val="00801C76"/>
    <w:rsid w:val="00802C07"/>
    <w:rsid w:val="00802E6F"/>
    <w:rsid w:val="00803406"/>
    <w:rsid w:val="008044BD"/>
    <w:rsid w:val="0080499A"/>
    <w:rsid w:val="00805065"/>
    <w:rsid w:val="00810C64"/>
    <w:rsid w:val="008115F0"/>
    <w:rsid w:val="00812EEC"/>
    <w:rsid w:val="00813B36"/>
    <w:rsid w:val="0081412E"/>
    <w:rsid w:val="00814A29"/>
    <w:rsid w:val="00814A48"/>
    <w:rsid w:val="00815038"/>
    <w:rsid w:val="00815140"/>
    <w:rsid w:val="008203FF"/>
    <w:rsid w:val="00821B73"/>
    <w:rsid w:val="008233E7"/>
    <w:rsid w:val="00824390"/>
    <w:rsid w:val="00824F9D"/>
    <w:rsid w:val="008258F2"/>
    <w:rsid w:val="00825BA3"/>
    <w:rsid w:val="0082615B"/>
    <w:rsid w:val="0082686C"/>
    <w:rsid w:val="00833AF5"/>
    <w:rsid w:val="00834369"/>
    <w:rsid w:val="00834936"/>
    <w:rsid w:val="00834AB6"/>
    <w:rsid w:val="00835536"/>
    <w:rsid w:val="0083669E"/>
    <w:rsid w:val="00841614"/>
    <w:rsid w:val="00841636"/>
    <w:rsid w:val="0084200B"/>
    <w:rsid w:val="008424A9"/>
    <w:rsid w:val="00842E41"/>
    <w:rsid w:val="0084343E"/>
    <w:rsid w:val="008434ED"/>
    <w:rsid w:val="00843EDA"/>
    <w:rsid w:val="0084436B"/>
    <w:rsid w:val="00844E54"/>
    <w:rsid w:val="008511CC"/>
    <w:rsid w:val="00852192"/>
    <w:rsid w:val="0085519C"/>
    <w:rsid w:val="0085639E"/>
    <w:rsid w:val="00861D6E"/>
    <w:rsid w:val="008645B4"/>
    <w:rsid w:val="008650CF"/>
    <w:rsid w:val="008661B3"/>
    <w:rsid w:val="00870E47"/>
    <w:rsid w:val="00870F46"/>
    <w:rsid w:val="008716C2"/>
    <w:rsid w:val="00872159"/>
    <w:rsid w:val="00873F67"/>
    <w:rsid w:val="008746FD"/>
    <w:rsid w:val="008835A1"/>
    <w:rsid w:val="00885110"/>
    <w:rsid w:val="00885EE5"/>
    <w:rsid w:val="008863F8"/>
    <w:rsid w:val="00891923"/>
    <w:rsid w:val="00892308"/>
    <w:rsid w:val="00894064"/>
    <w:rsid w:val="00894542"/>
    <w:rsid w:val="00897400"/>
    <w:rsid w:val="008A1F01"/>
    <w:rsid w:val="008A38D6"/>
    <w:rsid w:val="008A3CA5"/>
    <w:rsid w:val="008A439F"/>
    <w:rsid w:val="008A4F5D"/>
    <w:rsid w:val="008A767A"/>
    <w:rsid w:val="008A7B7F"/>
    <w:rsid w:val="008B078A"/>
    <w:rsid w:val="008B11A2"/>
    <w:rsid w:val="008B206F"/>
    <w:rsid w:val="008B3D84"/>
    <w:rsid w:val="008B4612"/>
    <w:rsid w:val="008B4FC2"/>
    <w:rsid w:val="008B53DB"/>
    <w:rsid w:val="008B632C"/>
    <w:rsid w:val="008B6548"/>
    <w:rsid w:val="008C0CA1"/>
    <w:rsid w:val="008C6475"/>
    <w:rsid w:val="008D0B78"/>
    <w:rsid w:val="008D0E2E"/>
    <w:rsid w:val="008D1304"/>
    <w:rsid w:val="008D16EA"/>
    <w:rsid w:val="008D1D3F"/>
    <w:rsid w:val="008D41B9"/>
    <w:rsid w:val="008D6AA5"/>
    <w:rsid w:val="008D6BFA"/>
    <w:rsid w:val="008E0CAB"/>
    <w:rsid w:val="008E4452"/>
    <w:rsid w:val="008E5EE0"/>
    <w:rsid w:val="008E6AD1"/>
    <w:rsid w:val="008E7B37"/>
    <w:rsid w:val="008F01B2"/>
    <w:rsid w:val="008F21E4"/>
    <w:rsid w:val="008F272E"/>
    <w:rsid w:val="008F4A2E"/>
    <w:rsid w:val="008F63C4"/>
    <w:rsid w:val="008F6D5A"/>
    <w:rsid w:val="009013F4"/>
    <w:rsid w:val="00901588"/>
    <w:rsid w:val="009017A1"/>
    <w:rsid w:val="009038BC"/>
    <w:rsid w:val="00906F82"/>
    <w:rsid w:val="0090792E"/>
    <w:rsid w:val="00910483"/>
    <w:rsid w:val="009133EB"/>
    <w:rsid w:val="00913805"/>
    <w:rsid w:val="00914773"/>
    <w:rsid w:val="009167AE"/>
    <w:rsid w:val="00916F24"/>
    <w:rsid w:val="00917D87"/>
    <w:rsid w:val="009230EB"/>
    <w:rsid w:val="00923732"/>
    <w:rsid w:val="00925E9F"/>
    <w:rsid w:val="0092695D"/>
    <w:rsid w:val="00927308"/>
    <w:rsid w:val="00927869"/>
    <w:rsid w:val="00927D36"/>
    <w:rsid w:val="00930728"/>
    <w:rsid w:val="00930883"/>
    <w:rsid w:val="00934569"/>
    <w:rsid w:val="00936D6E"/>
    <w:rsid w:val="00940C50"/>
    <w:rsid w:val="009422D5"/>
    <w:rsid w:val="0094503E"/>
    <w:rsid w:val="00951E67"/>
    <w:rsid w:val="0095369E"/>
    <w:rsid w:val="00954A59"/>
    <w:rsid w:val="00960116"/>
    <w:rsid w:val="00961E07"/>
    <w:rsid w:val="00962FD4"/>
    <w:rsid w:val="00964148"/>
    <w:rsid w:val="009674C5"/>
    <w:rsid w:val="009677B1"/>
    <w:rsid w:val="00967C77"/>
    <w:rsid w:val="00971AE2"/>
    <w:rsid w:val="00971F08"/>
    <w:rsid w:val="0097310D"/>
    <w:rsid w:val="00973DFA"/>
    <w:rsid w:val="009750CA"/>
    <w:rsid w:val="009761FE"/>
    <w:rsid w:val="00976F80"/>
    <w:rsid w:val="00984A13"/>
    <w:rsid w:val="00984C82"/>
    <w:rsid w:val="00985610"/>
    <w:rsid w:val="00994B20"/>
    <w:rsid w:val="009A1FED"/>
    <w:rsid w:val="009A3AEF"/>
    <w:rsid w:val="009A3CB4"/>
    <w:rsid w:val="009A46E9"/>
    <w:rsid w:val="009A57A4"/>
    <w:rsid w:val="009B0992"/>
    <w:rsid w:val="009B2325"/>
    <w:rsid w:val="009B3450"/>
    <w:rsid w:val="009B3855"/>
    <w:rsid w:val="009B48CB"/>
    <w:rsid w:val="009B4E83"/>
    <w:rsid w:val="009B567F"/>
    <w:rsid w:val="009B680D"/>
    <w:rsid w:val="009C0D78"/>
    <w:rsid w:val="009C1098"/>
    <w:rsid w:val="009C198F"/>
    <w:rsid w:val="009C220E"/>
    <w:rsid w:val="009C2401"/>
    <w:rsid w:val="009C35A4"/>
    <w:rsid w:val="009C3E4E"/>
    <w:rsid w:val="009C665C"/>
    <w:rsid w:val="009C74A5"/>
    <w:rsid w:val="009D02AB"/>
    <w:rsid w:val="009D2C85"/>
    <w:rsid w:val="009D3A3F"/>
    <w:rsid w:val="009D41F4"/>
    <w:rsid w:val="009D5970"/>
    <w:rsid w:val="009D6F6E"/>
    <w:rsid w:val="009E1ADE"/>
    <w:rsid w:val="009E505D"/>
    <w:rsid w:val="009E74F8"/>
    <w:rsid w:val="009E771A"/>
    <w:rsid w:val="009E7B30"/>
    <w:rsid w:val="009E7E1B"/>
    <w:rsid w:val="009F24FF"/>
    <w:rsid w:val="009F3B9A"/>
    <w:rsid w:val="009F4F95"/>
    <w:rsid w:val="009F65D1"/>
    <w:rsid w:val="009F6C67"/>
    <w:rsid w:val="009F6DE6"/>
    <w:rsid w:val="009F75F8"/>
    <w:rsid w:val="009F7BF4"/>
    <w:rsid w:val="009F7D2A"/>
    <w:rsid w:val="00A00408"/>
    <w:rsid w:val="00A02002"/>
    <w:rsid w:val="00A02900"/>
    <w:rsid w:val="00A02ED8"/>
    <w:rsid w:val="00A034E7"/>
    <w:rsid w:val="00A06CBC"/>
    <w:rsid w:val="00A0764B"/>
    <w:rsid w:val="00A07CCD"/>
    <w:rsid w:val="00A109E8"/>
    <w:rsid w:val="00A10EE8"/>
    <w:rsid w:val="00A119E0"/>
    <w:rsid w:val="00A11C2E"/>
    <w:rsid w:val="00A1258B"/>
    <w:rsid w:val="00A12944"/>
    <w:rsid w:val="00A1368C"/>
    <w:rsid w:val="00A140B7"/>
    <w:rsid w:val="00A14FAE"/>
    <w:rsid w:val="00A151F8"/>
    <w:rsid w:val="00A17392"/>
    <w:rsid w:val="00A1752B"/>
    <w:rsid w:val="00A2240F"/>
    <w:rsid w:val="00A2419F"/>
    <w:rsid w:val="00A24B46"/>
    <w:rsid w:val="00A262F1"/>
    <w:rsid w:val="00A26476"/>
    <w:rsid w:val="00A27757"/>
    <w:rsid w:val="00A27C9F"/>
    <w:rsid w:val="00A27F62"/>
    <w:rsid w:val="00A3227E"/>
    <w:rsid w:val="00A32897"/>
    <w:rsid w:val="00A35189"/>
    <w:rsid w:val="00A43D68"/>
    <w:rsid w:val="00A44B27"/>
    <w:rsid w:val="00A450DC"/>
    <w:rsid w:val="00A46B36"/>
    <w:rsid w:val="00A50E95"/>
    <w:rsid w:val="00A5129F"/>
    <w:rsid w:val="00A527C3"/>
    <w:rsid w:val="00A53245"/>
    <w:rsid w:val="00A54509"/>
    <w:rsid w:val="00A57041"/>
    <w:rsid w:val="00A578BB"/>
    <w:rsid w:val="00A61793"/>
    <w:rsid w:val="00A63D6E"/>
    <w:rsid w:val="00A65536"/>
    <w:rsid w:val="00A700E4"/>
    <w:rsid w:val="00A70646"/>
    <w:rsid w:val="00A717DB"/>
    <w:rsid w:val="00A717DF"/>
    <w:rsid w:val="00A71970"/>
    <w:rsid w:val="00A72854"/>
    <w:rsid w:val="00A732A9"/>
    <w:rsid w:val="00A73D69"/>
    <w:rsid w:val="00A74116"/>
    <w:rsid w:val="00A7563B"/>
    <w:rsid w:val="00A8261E"/>
    <w:rsid w:val="00A82CA1"/>
    <w:rsid w:val="00A836EA"/>
    <w:rsid w:val="00A83BB0"/>
    <w:rsid w:val="00A85293"/>
    <w:rsid w:val="00A861EA"/>
    <w:rsid w:val="00A8721E"/>
    <w:rsid w:val="00A87ABA"/>
    <w:rsid w:val="00A87E89"/>
    <w:rsid w:val="00A90500"/>
    <w:rsid w:val="00A912F9"/>
    <w:rsid w:val="00A92201"/>
    <w:rsid w:val="00A9343F"/>
    <w:rsid w:val="00A96366"/>
    <w:rsid w:val="00A97970"/>
    <w:rsid w:val="00AA472B"/>
    <w:rsid w:val="00AA4E29"/>
    <w:rsid w:val="00AB1362"/>
    <w:rsid w:val="00AB2499"/>
    <w:rsid w:val="00AB3585"/>
    <w:rsid w:val="00AB3AEE"/>
    <w:rsid w:val="00AB3CE4"/>
    <w:rsid w:val="00AB3DDA"/>
    <w:rsid w:val="00AB51D9"/>
    <w:rsid w:val="00AB6954"/>
    <w:rsid w:val="00AC32C6"/>
    <w:rsid w:val="00AC48BE"/>
    <w:rsid w:val="00AC5563"/>
    <w:rsid w:val="00AC5A20"/>
    <w:rsid w:val="00AC622A"/>
    <w:rsid w:val="00AD07EE"/>
    <w:rsid w:val="00AD0B24"/>
    <w:rsid w:val="00AD1EF2"/>
    <w:rsid w:val="00AD3831"/>
    <w:rsid w:val="00AD3F52"/>
    <w:rsid w:val="00AD4087"/>
    <w:rsid w:val="00AD4EBC"/>
    <w:rsid w:val="00AD5C24"/>
    <w:rsid w:val="00AD6BD8"/>
    <w:rsid w:val="00AD73B5"/>
    <w:rsid w:val="00AD752A"/>
    <w:rsid w:val="00AE0223"/>
    <w:rsid w:val="00AE1B91"/>
    <w:rsid w:val="00AE32AD"/>
    <w:rsid w:val="00AE3B09"/>
    <w:rsid w:val="00AE6A74"/>
    <w:rsid w:val="00AE7B03"/>
    <w:rsid w:val="00AF048C"/>
    <w:rsid w:val="00AF17EE"/>
    <w:rsid w:val="00AF19DB"/>
    <w:rsid w:val="00AF3C9A"/>
    <w:rsid w:val="00AF60AC"/>
    <w:rsid w:val="00AF6BE3"/>
    <w:rsid w:val="00B0028D"/>
    <w:rsid w:val="00B01395"/>
    <w:rsid w:val="00B0159D"/>
    <w:rsid w:val="00B023D4"/>
    <w:rsid w:val="00B028FF"/>
    <w:rsid w:val="00B032FF"/>
    <w:rsid w:val="00B0347C"/>
    <w:rsid w:val="00B0518E"/>
    <w:rsid w:val="00B051C8"/>
    <w:rsid w:val="00B05B1F"/>
    <w:rsid w:val="00B0666B"/>
    <w:rsid w:val="00B079AB"/>
    <w:rsid w:val="00B110DE"/>
    <w:rsid w:val="00B134BB"/>
    <w:rsid w:val="00B134C6"/>
    <w:rsid w:val="00B1702D"/>
    <w:rsid w:val="00B20E61"/>
    <w:rsid w:val="00B21B2A"/>
    <w:rsid w:val="00B244F1"/>
    <w:rsid w:val="00B27513"/>
    <w:rsid w:val="00B302E0"/>
    <w:rsid w:val="00B30376"/>
    <w:rsid w:val="00B33654"/>
    <w:rsid w:val="00B34611"/>
    <w:rsid w:val="00B37D55"/>
    <w:rsid w:val="00B41448"/>
    <w:rsid w:val="00B4429F"/>
    <w:rsid w:val="00B44D7C"/>
    <w:rsid w:val="00B45E7F"/>
    <w:rsid w:val="00B4667F"/>
    <w:rsid w:val="00B47C4F"/>
    <w:rsid w:val="00B5302D"/>
    <w:rsid w:val="00B53AA9"/>
    <w:rsid w:val="00B53E06"/>
    <w:rsid w:val="00B55135"/>
    <w:rsid w:val="00B5521B"/>
    <w:rsid w:val="00B55449"/>
    <w:rsid w:val="00B556AD"/>
    <w:rsid w:val="00B5579D"/>
    <w:rsid w:val="00B57D2C"/>
    <w:rsid w:val="00B60325"/>
    <w:rsid w:val="00B61CB0"/>
    <w:rsid w:val="00B638A3"/>
    <w:rsid w:val="00B63F27"/>
    <w:rsid w:val="00B64412"/>
    <w:rsid w:val="00B64966"/>
    <w:rsid w:val="00B651F3"/>
    <w:rsid w:val="00B65378"/>
    <w:rsid w:val="00B6640B"/>
    <w:rsid w:val="00B705B1"/>
    <w:rsid w:val="00B713ED"/>
    <w:rsid w:val="00B735AA"/>
    <w:rsid w:val="00B74425"/>
    <w:rsid w:val="00B74BF6"/>
    <w:rsid w:val="00B74ED4"/>
    <w:rsid w:val="00B757DC"/>
    <w:rsid w:val="00B75DE9"/>
    <w:rsid w:val="00B75F21"/>
    <w:rsid w:val="00B77B5E"/>
    <w:rsid w:val="00B77CEC"/>
    <w:rsid w:val="00B80201"/>
    <w:rsid w:val="00B81E91"/>
    <w:rsid w:val="00B81EB0"/>
    <w:rsid w:val="00B829B8"/>
    <w:rsid w:val="00B84975"/>
    <w:rsid w:val="00B84E9A"/>
    <w:rsid w:val="00B84EE9"/>
    <w:rsid w:val="00B84FDF"/>
    <w:rsid w:val="00B919FF"/>
    <w:rsid w:val="00B92D36"/>
    <w:rsid w:val="00B94127"/>
    <w:rsid w:val="00B95158"/>
    <w:rsid w:val="00B95214"/>
    <w:rsid w:val="00B97C46"/>
    <w:rsid w:val="00BA0C66"/>
    <w:rsid w:val="00BA41FC"/>
    <w:rsid w:val="00BA66DB"/>
    <w:rsid w:val="00BB2174"/>
    <w:rsid w:val="00BB23EF"/>
    <w:rsid w:val="00BB3FE6"/>
    <w:rsid w:val="00BB6FE1"/>
    <w:rsid w:val="00BB735E"/>
    <w:rsid w:val="00BC47BE"/>
    <w:rsid w:val="00BD011F"/>
    <w:rsid w:val="00BD1071"/>
    <w:rsid w:val="00BD15FF"/>
    <w:rsid w:val="00BD1F67"/>
    <w:rsid w:val="00BD24C3"/>
    <w:rsid w:val="00BD4416"/>
    <w:rsid w:val="00BD79EF"/>
    <w:rsid w:val="00BE0177"/>
    <w:rsid w:val="00BE03B0"/>
    <w:rsid w:val="00BE17C8"/>
    <w:rsid w:val="00BE323B"/>
    <w:rsid w:val="00BE3D2C"/>
    <w:rsid w:val="00BE41EA"/>
    <w:rsid w:val="00BE45E0"/>
    <w:rsid w:val="00BE4802"/>
    <w:rsid w:val="00BE51EF"/>
    <w:rsid w:val="00BE61EE"/>
    <w:rsid w:val="00BF2F28"/>
    <w:rsid w:val="00BF3687"/>
    <w:rsid w:val="00BF3DC5"/>
    <w:rsid w:val="00BF4774"/>
    <w:rsid w:val="00BF4FF0"/>
    <w:rsid w:val="00C06421"/>
    <w:rsid w:val="00C06F15"/>
    <w:rsid w:val="00C0725E"/>
    <w:rsid w:val="00C116D1"/>
    <w:rsid w:val="00C12627"/>
    <w:rsid w:val="00C139EB"/>
    <w:rsid w:val="00C13F6D"/>
    <w:rsid w:val="00C14D37"/>
    <w:rsid w:val="00C14F7B"/>
    <w:rsid w:val="00C169C1"/>
    <w:rsid w:val="00C17805"/>
    <w:rsid w:val="00C24607"/>
    <w:rsid w:val="00C255BB"/>
    <w:rsid w:val="00C31F3C"/>
    <w:rsid w:val="00C337AA"/>
    <w:rsid w:val="00C33A8E"/>
    <w:rsid w:val="00C4032C"/>
    <w:rsid w:val="00C4111D"/>
    <w:rsid w:val="00C42039"/>
    <w:rsid w:val="00C42C23"/>
    <w:rsid w:val="00C467F6"/>
    <w:rsid w:val="00C504AE"/>
    <w:rsid w:val="00C51D00"/>
    <w:rsid w:val="00C51EA6"/>
    <w:rsid w:val="00C530FA"/>
    <w:rsid w:val="00C54AE2"/>
    <w:rsid w:val="00C54E26"/>
    <w:rsid w:val="00C558A1"/>
    <w:rsid w:val="00C64549"/>
    <w:rsid w:val="00C67B71"/>
    <w:rsid w:val="00C74E89"/>
    <w:rsid w:val="00C76083"/>
    <w:rsid w:val="00C7728C"/>
    <w:rsid w:val="00C814CC"/>
    <w:rsid w:val="00C82BC1"/>
    <w:rsid w:val="00C835AC"/>
    <w:rsid w:val="00C84565"/>
    <w:rsid w:val="00C84AAE"/>
    <w:rsid w:val="00C859CE"/>
    <w:rsid w:val="00C9010A"/>
    <w:rsid w:val="00C90EE4"/>
    <w:rsid w:val="00C9369B"/>
    <w:rsid w:val="00C93DC5"/>
    <w:rsid w:val="00C97777"/>
    <w:rsid w:val="00CA0132"/>
    <w:rsid w:val="00CA12A6"/>
    <w:rsid w:val="00CA1BB8"/>
    <w:rsid w:val="00CA1E7D"/>
    <w:rsid w:val="00CA2229"/>
    <w:rsid w:val="00CA2C29"/>
    <w:rsid w:val="00CA5B86"/>
    <w:rsid w:val="00CA6288"/>
    <w:rsid w:val="00CA749B"/>
    <w:rsid w:val="00CB11F6"/>
    <w:rsid w:val="00CB1EE3"/>
    <w:rsid w:val="00CB2043"/>
    <w:rsid w:val="00CB2E78"/>
    <w:rsid w:val="00CB5E99"/>
    <w:rsid w:val="00CB7769"/>
    <w:rsid w:val="00CC03C6"/>
    <w:rsid w:val="00CC1AE1"/>
    <w:rsid w:val="00CC3408"/>
    <w:rsid w:val="00CC57DC"/>
    <w:rsid w:val="00CC5D82"/>
    <w:rsid w:val="00CC63CA"/>
    <w:rsid w:val="00CC6F21"/>
    <w:rsid w:val="00CC7F2A"/>
    <w:rsid w:val="00CD00BE"/>
    <w:rsid w:val="00CD103F"/>
    <w:rsid w:val="00CD1EA4"/>
    <w:rsid w:val="00CD4F3D"/>
    <w:rsid w:val="00CD53F6"/>
    <w:rsid w:val="00CE2169"/>
    <w:rsid w:val="00CE244D"/>
    <w:rsid w:val="00CE467F"/>
    <w:rsid w:val="00CE4CBA"/>
    <w:rsid w:val="00CE551C"/>
    <w:rsid w:val="00D007F3"/>
    <w:rsid w:val="00D03845"/>
    <w:rsid w:val="00D05217"/>
    <w:rsid w:val="00D0552B"/>
    <w:rsid w:val="00D10F30"/>
    <w:rsid w:val="00D118CA"/>
    <w:rsid w:val="00D12158"/>
    <w:rsid w:val="00D12ACA"/>
    <w:rsid w:val="00D1370A"/>
    <w:rsid w:val="00D1461B"/>
    <w:rsid w:val="00D16C81"/>
    <w:rsid w:val="00D17ED3"/>
    <w:rsid w:val="00D17F95"/>
    <w:rsid w:val="00D21721"/>
    <w:rsid w:val="00D248CB"/>
    <w:rsid w:val="00D249A7"/>
    <w:rsid w:val="00D259F6"/>
    <w:rsid w:val="00D2639E"/>
    <w:rsid w:val="00D26D75"/>
    <w:rsid w:val="00D31882"/>
    <w:rsid w:val="00D33161"/>
    <w:rsid w:val="00D33B9A"/>
    <w:rsid w:val="00D35269"/>
    <w:rsid w:val="00D35923"/>
    <w:rsid w:val="00D37F4B"/>
    <w:rsid w:val="00D4545C"/>
    <w:rsid w:val="00D508A1"/>
    <w:rsid w:val="00D542DE"/>
    <w:rsid w:val="00D553DE"/>
    <w:rsid w:val="00D6051B"/>
    <w:rsid w:val="00D61090"/>
    <w:rsid w:val="00D62362"/>
    <w:rsid w:val="00D645D9"/>
    <w:rsid w:val="00D647BF"/>
    <w:rsid w:val="00D67256"/>
    <w:rsid w:val="00D72128"/>
    <w:rsid w:val="00D74790"/>
    <w:rsid w:val="00D74D53"/>
    <w:rsid w:val="00D75C9F"/>
    <w:rsid w:val="00D84192"/>
    <w:rsid w:val="00D92066"/>
    <w:rsid w:val="00D928E3"/>
    <w:rsid w:val="00D9432B"/>
    <w:rsid w:val="00D95D3D"/>
    <w:rsid w:val="00D9663F"/>
    <w:rsid w:val="00D96707"/>
    <w:rsid w:val="00D97241"/>
    <w:rsid w:val="00D977C3"/>
    <w:rsid w:val="00D97E8F"/>
    <w:rsid w:val="00DA045E"/>
    <w:rsid w:val="00DA0C9C"/>
    <w:rsid w:val="00DA27E0"/>
    <w:rsid w:val="00DA2917"/>
    <w:rsid w:val="00DA4801"/>
    <w:rsid w:val="00DA57E6"/>
    <w:rsid w:val="00DA5B51"/>
    <w:rsid w:val="00DA5E0F"/>
    <w:rsid w:val="00DA5F63"/>
    <w:rsid w:val="00DA69F9"/>
    <w:rsid w:val="00DB011F"/>
    <w:rsid w:val="00DB1114"/>
    <w:rsid w:val="00DB175B"/>
    <w:rsid w:val="00DB1F22"/>
    <w:rsid w:val="00DB2B98"/>
    <w:rsid w:val="00DB5AFA"/>
    <w:rsid w:val="00DB65BE"/>
    <w:rsid w:val="00DC077C"/>
    <w:rsid w:val="00DC21CB"/>
    <w:rsid w:val="00DC27B0"/>
    <w:rsid w:val="00DC35CD"/>
    <w:rsid w:val="00DC37A6"/>
    <w:rsid w:val="00DC3ABE"/>
    <w:rsid w:val="00DC435E"/>
    <w:rsid w:val="00DC6494"/>
    <w:rsid w:val="00DD0F27"/>
    <w:rsid w:val="00DD11C9"/>
    <w:rsid w:val="00DD1799"/>
    <w:rsid w:val="00DD3437"/>
    <w:rsid w:val="00DD4581"/>
    <w:rsid w:val="00DD54D8"/>
    <w:rsid w:val="00DD58E4"/>
    <w:rsid w:val="00DD765A"/>
    <w:rsid w:val="00DE0BE4"/>
    <w:rsid w:val="00DE1F43"/>
    <w:rsid w:val="00DE37F4"/>
    <w:rsid w:val="00DE72A6"/>
    <w:rsid w:val="00DE7BFF"/>
    <w:rsid w:val="00DF0FC6"/>
    <w:rsid w:val="00DF0FF4"/>
    <w:rsid w:val="00DF1523"/>
    <w:rsid w:val="00DF3154"/>
    <w:rsid w:val="00DF338E"/>
    <w:rsid w:val="00DF6B2F"/>
    <w:rsid w:val="00DF6BA7"/>
    <w:rsid w:val="00DF6C19"/>
    <w:rsid w:val="00E01442"/>
    <w:rsid w:val="00E0175D"/>
    <w:rsid w:val="00E018C6"/>
    <w:rsid w:val="00E02810"/>
    <w:rsid w:val="00E0311D"/>
    <w:rsid w:val="00E034D1"/>
    <w:rsid w:val="00E05E6F"/>
    <w:rsid w:val="00E076A7"/>
    <w:rsid w:val="00E10511"/>
    <w:rsid w:val="00E118D4"/>
    <w:rsid w:val="00E125BA"/>
    <w:rsid w:val="00E128C2"/>
    <w:rsid w:val="00E144E4"/>
    <w:rsid w:val="00E149B8"/>
    <w:rsid w:val="00E1515E"/>
    <w:rsid w:val="00E160D2"/>
    <w:rsid w:val="00E16C0A"/>
    <w:rsid w:val="00E17CA5"/>
    <w:rsid w:val="00E2037A"/>
    <w:rsid w:val="00E207CD"/>
    <w:rsid w:val="00E208FC"/>
    <w:rsid w:val="00E23EBA"/>
    <w:rsid w:val="00E2723D"/>
    <w:rsid w:val="00E27353"/>
    <w:rsid w:val="00E3207A"/>
    <w:rsid w:val="00E340D0"/>
    <w:rsid w:val="00E351D1"/>
    <w:rsid w:val="00E37E85"/>
    <w:rsid w:val="00E449A8"/>
    <w:rsid w:val="00E47197"/>
    <w:rsid w:val="00E51D3E"/>
    <w:rsid w:val="00E5236B"/>
    <w:rsid w:val="00E524A1"/>
    <w:rsid w:val="00E52873"/>
    <w:rsid w:val="00E531C1"/>
    <w:rsid w:val="00E54BDF"/>
    <w:rsid w:val="00E5560B"/>
    <w:rsid w:val="00E55D5C"/>
    <w:rsid w:val="00E60D1D"/>
    <w:rsid w:val="00E61F62"/>
    <w:rsid w:val="00E626B9"/>
    <w:rsid w:val="00E640F1"/>
    <w:rsid w:val="00E64B69"/>
    <w:rsid w:val="00E656E3"/>
    <w:rsid w:val="00E705E9"/>
    <w:rsid w:val="00E715AD"/>
    <w:rsid w:val="00E71EBB"/>
    <w:rsid w:val="00E731AB"/>
    <w:rsid w:val="00E76C38"/>
    <w:rsid w:val="00E76E60"/>
    <w:rsid w:val="00E77E49"/>
    <w:rsid w:val="00E80875"/>
    <w:rsid w:val="00E80A94"/>
    <w:rsid w:val="00E8384E"/>
    <w:rsid w:val="00E848BC"/>
    <w:rsid w:val="00E869BF"/>
    <w:rsid w:val="00E86C28"/>
    <w:rsid w:val="00E90FA1"/>
    <w:rsid w:val="00E91FCC"/>
    <w:rsid w:val="00E939EE"/>
    <w:rsid w:val="00E9545A"/>
    <w:rsid w:val="00E95D56"/>
    <w:rsid w:val="00E96BBA"/>
    <w:rsid w:val="00E9742B"/>
    <w:rsid w:val="00EA0780"/>
    <w:rsid w:val="00EA177F"/>
    <w:rsid w:val="00EA2BDF"/>
    <w:rsid w:val="00EA381C"/>
    <w:rsid w:val="00EB10A6"/>
    <w:rsid w:val="00EB1141"/>
    <w:rsid w:val="00EB2292"/>
    <w:rsid w:val="00EB2D1B"/>
    <w:rsid w:val="00EB7C3B"/>
    <w:rsid w:val="00EC4A57"/>
    <w:rsid w:val="00EC7A77"/>
    <w:rsid w:val="00ED1F87"/>
    <w:rsid w:val="00ED283D"/>
    <w:rsid w:val="00ED3581"/>
    <w:rsid w:val="00ED474C"/>
    <w:rsid w:val="00ED54F8"/>
    <w:rsid w:val="00ED5D9C"/>
    <w:rsid w:val="00ED6E76"/>
    <w:rsid w:val="00EE27F8"/>
    <w:rsid w:val="00EE3233"/>
    <w:rsid w:val="00EE33E4"/>
    <w:rsid w:val="00EE3AB7"/>
    <w:rsid w:val="00EE3C82"/>
    <w:rsid w:val="00EE557D"/>
    <w:rsid w:val="00EE7672"/>
    <w:rsid w:val="00EE7861"/>
    <w:rsid w:val="00EF0F2E"/>
    <w:rsid w:val="00EF128F"/>
    <w:rsid w:val="00EF1AB8"/>
    <w:rsid w:val="00EF27F5"/>
    <w:rsid w:val="00EF401C"/>
    <w:rsid w:val="00EF523D"/>
    <w:rsid w:val="00EF5D5A"/>
    <w:rsid w:val="00EF6545"/>
    <w:rsid w:val="00EF7E2D"/>
    <w:rsid w:val="00F002BB"/>
    <w:rsid w:val="00F00F29"/>
    <w:rsid w:val="00F0180A"/>
    <w:rsid w:val="00F02351"/>
    <w:rsid w:val="00F02800"/>
    <w:rsid w:val="00F06E98"/>
    <w:rsid w:val="00F07FC6"/>
    <w:rsid w:val="00F11097"/>
    <w:rsid w:val="00F13075"/>
    <w:rsid w:val="00F14CC1"/>
    <w:rsid w:val="00F15988"/>
    <w:rsid w:val="00F16925"/>
    <w:rsid w:val="00F170FB"/>
    <w:rsid w:val="00F17497"/>
    <w:rsid w:val="00F17CDE"/>
    <w:rsid w:val="00F20AD9"/>
    <w:rsid w:val="00F20DA2"/>
    <w:rsid w:val="00F211AE"/>
    <w:rsid w:val="00F21EC9"/>
    <w:rsid w:val="00F23CBD"/>
    <w:rsid w:val="00F24A8F"/>
    <w:rsid w:val="00F24EF6"/>
    <w:rsid w:val="00F254EF"/>
    <w:rsid w:val="00F26571"/>
    <w:rsid w:val="00F27C6E"/>
    <w:rsid w:val="00F27E18"/>
    <w:rsid w:val="00F3014A"/>
    <w:rsid w:val="00F304BA"/>
    <w:rsid w:val="00F30D67"/>
    <w:rsid w:val="00F31B78"/>
    <w:rsid w:val="00F32593"/>
    <w:rsid w:val="00F3380C"/>
    <w:rsid w:val="00F34F62"/>
    <w:rsid w:val="00F3535E"/>
    <w:rsid w:val="00F42DC3"/>
    <w:rsid w:val="00F430B7"/>
    <w:rsid w:val="00F43541"/>
    <w:rsid w:val="00F43A7A"/>
    <w:rsid w:val="00F441BB"/>
    <w:rsid w:val="00F4483C"/>
    <w:rsid w:val="00F45E9B"/>
    <w:rsid w:val="00F463BF"/>
    <w:rsid w:val="00F46648"/>
    <w:rsid w:val="00F508B6"/>
    <w:rsid w:val="00F516C0"/>
    <w:rsid w:val="00F52CA9"/>
    <w:rsid w:val="00F52E22"/>
    <w:rsid w:val="00F53795"/>
    <w:rsid w:val="00F551CB"/>
    <w:rsid w:val="00F56888"/>
    <w:rsid w:val="00F56BD6"/>
    <w:rsid w:val="00F570CF"/>
    <w:rsid w:val="00F6117F"/>
    <w:rsid w:val="00F6123D"/>
    <w:rsid w:val="00F6174D"/>
    <w:rsid w:val="00F643B8"/>
    <w:rsid w:val="00F66363"/>
    <w:rsid w:val="00F67561"/>
    <w:rsid w:val="00F717BC"/>
    <w:rsid w:val="00F809E8"/>
    <w:rsid w:val="00F85719"/>
    <w:rsid w:val="00F85940"/>
    <w:rsid w:val="00F87018"/>
    <w:rsid w:val="00F87FBF"/>
    <w:rsid w:val="00F91032"/>
    <w:rsid w:val="00F91073"/>
    <w:rsid w:val="00F91D76"/>
    <w:rsid w:val="00F92063"/>
    <w:rsid w:val="00F92065"/>
    <w:rsid w:val="00F9242E"/>
    <w:rsid w:val="00F93FC9"/>
    <w:rsid w:val="00F94EAB"/>
    <w:rsid w:val="00F9515A"/>
    <w:rsid w:val="00F975B1"/>
    <w:rsid w:val="00FA157A"/>
    <w:rsid w:val="00FA1F69"/>
    <w:rsid w:val="00FA2E02"/>
    <w:rsid w:val="00FA33BB"/>
    <w:rsid w:val="00FA3BC1"/>
    <w:rsid w:val="00FA698B"/>
    <w:rsid w:val="00FB0483"/>
    <w:rsid w:val="00FB1341"/>
    <w:rsid w:val="00FB20CB"/>
    <w:rsid w:val="00FB2143"/>
    <w:rsid w:val="00FB2539"/>
    <w:rsid w:val="00FB302E"/>
    <w:rsid w:val="00FB7378"/>
    <w:rsid w:val="00FC0272"/>
    <w:rsid w:val="00FC0A6A"/>
    <w:rsid w:val="00FC1413"/>
    <w:rsid w:val="00FC17F7"/>
    <w:rsid w:val="00FC3F8D"/>
    <w:rsid w:val="00FC44C0"/>
    <w:rsid w:val="00FC4855"/>
    <w:rsid w:val="00FC49E0"/>
    <w:rsid w:val="00FD0245"/>
    <w:rsid w:val="00FD0515"/>
    <w:rsid w:val="00FD1B86"/>
    <w:rsid w:val="00FD3B8E"/>
    <w:rsid w:val="00FD635B"/>
    <w:rsid w:val="00FE09DD"/>
    <w:rsid w:val="00FE1D57"/>
    <w:rsid w:val="00FE2933"/>
    <w:rsid w:val="00FE4397"/>
    <w:rsid w:val="00FE59AB"/>
    <w:rsid w:val="00FE66C3"/>
    <w:rsid w:val="00FE698F"/>
    <w:rsid w:val="00FE70CA"/>
    <w:rsid w:val="00FF0316"/>
    <w:rsid w:val="00FF1E0E"/>
    <w:rsid w:val="00FF431F"/>
    <w:rsid w:val="00FF7E24"/>
    <w:rsid w:val="06B12D12"/>
    <w:rsid w:val="10981D0F"/>
    <w:rsid w:val="137A5344"/>
    <w:rsid w:val="152D5C3F"/>
    <w:rsid w:val="17AA0896"/>
    <w:rsid w:val="18AF1A19"/>
    <w:rsid w:val="1B633B7D"/>
    <w:rsid w:val="23DA1936"/>
    <w:rsid w:val="249605C3"/>
    <w:rsid w:val="25E258B6"/>
    <w:rsid w:val="2F4E0DAB"/>
    <w:rsid w:val="3C941FF2"/>
    <w:rsid w:val="40B52A37"/>
    <w:rsid w:val="441E7550"/>
    <w:rsid w:val="55FF1375"/>
    <w:rsid w:val="572F3796"/>
    <w:rsid w:val="5F8D7DD2"/>
    <w:rsid w:val="65E9205F"/>
    <w:rsid w:val="69655E7A"/>
    <w:rsid w:val="6C7034F3"/>
    <w:rsid w:val="6F811B7C"/>
    <w:rsid w:val="71352A27"/>
    <w:rsid w:val="75905694"/>
  </w:rsids>
  <w:doNotAutoCompressPicture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iPriority="0" w:name="Document Map"/>
    <w:lsdException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2"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spacing w:before="340" w:after="330" w:line="576" w:lineRule="auto"/>
      <w:outlineLvl w:val="0"/>
    </w:pPr>
    <w:rPr>
      <w:b/>
      <w:bCs/>
      <w:kern w:val="44"/>
      <w:sz w:val="44"/>
      <w:szCs w:val="44"/>
    </w:rPr>
  </w:style>
  <w:style w:type="character" w:default="1" w:styleId="11">
    <w:name w:val="Default Paragraph Font"/>
    <w:unhideWhenUsed/>
    <w:uiPriority w:val="1"/>
  </w:style>
  <w:style w:type="table" w:default="1" w:styleId="16">
    <w:name w:val="Normal Table"/>
    <w:unhideWhenUsed/>
    <w:uiPriority w:val="99"/>
    <w:tblPr>
      <w:tblStyle w:val="16"/>
      <w:tblLayout w:type="fixed"/>
      <w:tblCellMar>
        <w:top w:w="0" w:type="dxa"/>
        <w:left w:w="108" w:type="dxa"/>
        <w:bottom w:w="0" w:type="dxa"/>
        <w:right w:w="108" w:type="dxa"/>
      </w:tblCellMar>
    </w:tblPr>
    <w:tcPr>
      <w:textDirection w:val="lrTb"/>
    </w:tcPr>
  </w:style>
  <w:style w:type="paragraph" w:styleId="3">
    <w:name w:val="annotation subject"/>
    <w:basedOn w:val="4"/>
    <w:next w:val="4"/>
    <w:link w:val="41"/>
    <w:qFormat/>
    <w:uiPriority w:val="0"/>
    <w:rPr>
      <w:b/>
      <w:bCs/>
    </w:rPr>
  </w:style>
  <w:style w:type="paragraph" w:styleId="4">
    <w:name w:val="annotation text"/>
    <w:basedOn w:val="1"/>
    <w:link w:val="45"/>
    <w:qFormat/>
    <w:uiPriority w:val="0"/>
    <w:pPr>
      <w:jc w:val="left"/>
    </w:pPr>
  </w:style>
  <w:style w:type="paragraph" w:styleId="5">
    <w:name w:val="Plain Text"/>
    <w:basedOn w:val="1"/>
    <w:link w:val="37"/>
    <w:uiPriority w:val="0"/>
    <w:rPr>
      <w:rFonts w:ascii="宋体" w:hAnsi="Courier New"/>
      <w:szCs w:val="21"/>
    </w:rPr>
  </w:style>
  <w:style w:type="paragraph" w:styleId="6">
    <w:name w:val="Date"/>
    <w:basedOn w:val="1"/>
    <w:next w:val="1"/>
    <w:link w:val="38"/>
    <w:uiPriority w:val="0"/>
    <w:pPr>
      <w:ind w:left="100" w:leftChars="2500"/>
    </w:pPr>
  </w:style>
  <w:style w:type="paragraph" w:styleId="7">
    <w:name w:val="Balloon Text"/>
    <w:basedOn w:val="1"/>
    <w:link w:val="43"/>
    <w:uiPriority w:val="0"/>
    <w:rPr>
      <w:sz w:val="18"/>
      <w:szCs w:val="18"/>
    </w:rPr>
  </w:style>
  <w:style w:type="paragraph" w:styleId="8">
    <w:name w:val="footer"/>
    <w:basedOn w:val="1"/>
    <w:link w:val="47"/>
    <w:qFormat/>
    <w:uiPriority w:val="0"/>
    <w:pPr>
      <w:tabs>
        <w:tab w:val="center" w:pos="4153"/>
        <w:tab w:val="right" w:pos="8306"/>
      </w:tabs>
      <w:snapToGrid w:val="0"/>
      <w:jc w:val="left"/>
    </w:pPr>
    <w:rPr>
      <w:sz w:val="18"/>
      <w:szCs w:val="18"/>
    </w:rPr>
  </w:style>
  <w:style w:type="paragraph" w:styleId="9">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page number"/>
    <w:uiPriority w:val="0"/>
  </w:style>
  <w:style w:type="character" w:styleId="13">
    <w:name w:val="FollowedHyperlink"/>
    <w:uiPriority w:val="99"/>
    <w:rPr>
      <w:color w:val="800080"/>
      <w:u w:val="single"/>
    </w:rPr>
  </w:style>
  <w:style w:type="character" w:styleId="14">
    <w:name w:val="Hyperlink"/>
    <w:uiPriority w:val="0"/>
    <w:rPr>
      <w:color w:val="0000FF"/>
      <w:u w:val="single"/>
    </w:rPr>
  </w:style>
  <w:style w:type="character" w:styleId="15">
    <w:name w:val="annotation reference"/>
    <w:uiPriority w:val="0"/>
    <w:rPr>
      <w:sz w:val="21"/>
      <w:szCs w:val="21"/>
    </w:rPr>
  </w:style>
  <w:style w:type="table" w:styleId="17">
    <w:name w:val="Table Grid"/>
    <w:basedOn w:val="16"/>
    <w:unhideWhenUsed/>
    <w:uiPriority w:val="99"/>
    <w:pPr/>
    <w:tblPr>
      <w:tblStyle w:val="1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styleId="18">
    <w:name w:val="Medium Grid 1"/>
    <w:basedOn w:val="16"/>
    <w:uiPriority w:val="62"/>
    <w:pPr/>
    <w:tblPr>
      <w:tblStyle w:val="16"/>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Layout w:type="fixed"/>
    </w:tblPr>
    <w:tcPr>
      <w:shd w:val="clear" w:color="auto" w:fill="C0C0C0"/>
      <w:textDirection w:val="lrTb"/>
    </w:tcPr>
    <w:tblStylePr w:type="firstRow">
      <w:rPr>
        <w:b/>
        <w:bCs/>
      </w:rPr>
      <w:tblPr>
        <w:tblStyle w:val="16"/>
        <w:tblLayout w:type="fixed"/>
      </w:tblPr>
      <w:tcPr>
        <w:textDirection w:val="lrTb"/>
      </w:tcPr>
    </w:tblStylePr>
    <w:tblStylePr w:type="lastRow">
      <w:rPr>
        <w:b/>
        <w:bCs/>
      </w:rPr>
      <w:tblPr>
        <w:tblStyle w:val="16"/>
        <w:tblLayout w:type="fixed"/>
      </w:tblPr>
      <w:tcPr>
        <w:tcBorders>
          <w:top w:val="single" w:color="404040" w:sz="18" w:space="0"/>
          <w:left w:val="nil"/>
          <w:bottom w:val="nil"/>
          <w:right w:val="nil"/>
          <w:insideH w:val="nil"/>
          <w:insideV w:val="nil"/>
          <w:tl2br w:val="nil"/>
          <w:tr2bl w:val="nil"/>
        </w:tcBorders>
        <w:textDirection w:val="lrTb"/>
      </w:tcPr>
    </w:tblStylePr>
    <w:tblStylePr w:type="firstCol">
      <w:rPr>
        <w:b/>
        <w:bCs/>
      </w:rPr>
      <w:tblPr>
        <w:tblStyle w:val="16"/>
        <w:tblLayout w:type="fixed"/>
      </w:tblPr>
      <w:tcPr>
        <w:textDirection w:val="lrTb"/>
      </w:tcPr>
    </w:tblStylePr>
    <w:tblStylePr w:type="lastCol">
      <w:rPr>
        <w:b/>
        <w:bCs/>
      </w:rPr>
      <w:tblPr>
        <w:tblStyle w:val="16"/>
        <w:tblLayout w:type="fixed"/>
      </w:tblPr>
      <w:tcPr>
        <w:textDirection w:val="lrTb"/>
      </w:tcPr>
    </w:tblStylePr>
    <w:tblStylePr w:type="band1Vert">
      <w:tblPr>
        <w:tblStyle w:val="16"/>
        <w:tblLayout w:type="fixed"/>
      </w:tblPr>
      <w:tcPr>
        <w:shd w:val="clear" w:color="auto" w:fill="808080"/>
        <w:textDirection w:val="lrTb"/>
      </w:tcPr>
    </w:tblStylePr>
    <w:tblStylePr w:type="band1Horz">
      <w:tblPr>
        <w:tblStyle w:val="16"/>
        <w:tblLayout w:type="fixed"/>
      </w:tblPr>
      <w:tcPr>
        <w:shd w:val="clear" w:color="auto" w:fill="808080"/>
        <w:textDirection w:val="lrTb"/>
      </w:tcPr>
    </w:tblStylePr>
  </w:style>
  <w:style w:type="paragraph" w:customStyle="1" w:styleId="19">
    <w:name w:val="Char Char1"/>
    <w:basedOn w:val="1"/>
    <w:qFormat/>
    <w:uiPriority w:val="0"/>
  </w:style>
  <w:style w:type="paragraph" w:customStyle="1" w:styleId="2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Char"/>
    <w:basedOn w:val="1"/>
    <w:next w:val="1"/>
    <w:qFormat/>
    <w:uiPriority w:val="0"/>
    <w:pPr>
      <w:spacing w:line="240" w:lineRule="atLeast"/>
      <w:ind w:left="420" w:firstLine="420"/>
      <w:jc w:val="left"/>
    </w:pPr>
    <w:rPr>
      <w:kern w:val="0"/>
      <w:szCs w:val="21"/>
    </w:rPr>
  </w:style>
  <w:style w:type="paragraph" w:customStyle="1" w:styleId="22">
    <w:name w:val="Char1 Char Char Char Char Char Char"/>
    <w:basedOn w:val="1"/>
    <w:uiPriority w:val="0"/>
    <w:rPr>
      <w:rFonts w:ascii="Tahoma" w:hAnsi="Tahoma"/>
      <w:sz w:val="24"/>
      <w:szCs w:val="20"/>
    </w:rPr>
  </w:style>
  <w:style w:type="paragraph" w:customStyle="1" w:styleId="23">
    <w:name w:val="Char Char Char Char Char Char Char"/>
    <w:basedOn w:val="1"/>
    <w:uiPriority w:val="0"/>
    <w:pPr>
      <w:widowControl/>
      <w:spacing w:after="160" w:line="240" w:lineRule="exact"/>
      <w:jc w:val="left"/>
    </w:pPr>
    <w:rPr>
      <w:rFonts w:ascii="Arial" w:hAnsi="Arial" w:eastAsia="Times New Roman" w:cs="Verdana"/>
      <w:b/>
      <w:kern w:val="0"/>
      <w:sz w:val="24"/>
      <w:lang w:eastAsia="en-US"/>
    </w:rPr>
  </w:style>
  <w:style w:type="paragraph" w:customStyle="1" w:styleId="24">
    <w:name w:val="样式1"/>
    <w:basedOn w:val="1"/>
    <w:uiPriority w:val="0"/>
    <w:rPr>
      <w:rFonts w:ascii="仿宋_GB2312" w:eastAsia="仿宋_GB2312"/>
      <w:sz w:val="28"/>
    </w:rPr>
  </w:style>
  <w:style w:type="paragraph" w:customStyle="1" w:styleId="25">
    <w:name w:val="Char Char Char Char Char Char Char1"/>
    <w:basedOn w:val="1"/>
    <w:uiPriority w:val="0"/>
    <w:pPr>
      <w:widowControl/>
      <w:spacing w:after="160" w:line="240" w:lineRule="exact"/>
      <w:jc w:val="left"/>
    </w:pPr>
    <w:rPr>
      <w:rFonts w:ascii="Arial" w:hAnsi="Arial" w:eastAsia="Times New Roman" w:cs="Verdana"/>
      <w:b/>
      <w:kern w:val="0"/>
      <w:sz w:val="24"/>
      <w:lang w:eastAsia="en-US"/>
    </w:rPr>
  </w:style>
  <w:style w:type="paragraph" w:customStyle="1" w:styleId="26">
    <w:name w:val="_Style 2"/>
    <w:basedOn w:val="1"/>
    <w:next w:val="1"/>
    <w:uiPriority w:val="0"/>
    <w:pPr>
      <w:spacing w:line="240" w:lineRule="atLeast"/>
      <w:ind w:left="420" w:firstLine="420"/>
      <w:jc w:val="left"/>
    </w:pPr>
  </w:style>
  <w:style w:type="paragraph" w:customStyle="1" w:styleId="27">
    <w:name w:val="教材正文"/>
    <w:basedOn w:val="1"/>
    <w:uiPriority w:val="0"/>
    <w:pPr>
      <w:adjustRightInd w:val="0"/>
      <w:snapToGrid w:val="0"/>
      <w:spacing w:line="360" w:lineRule="auto"/>
      <w:ind w:firstLine="200" w:firstLineChars="200"/>
    </w:pPr>
    <w:rPr>
      <w:rFonts w:ascii="宋体" w:hAnsi="宋体"/>
      <w:sz w:val="24"/>
    </w:rPr>
  </w:style>
  <w:style w:type="paragraph" w:customStyle="1" w:styleId="28">
    <w:name w:val="Char Char"/>
    <w:basedOn w:val="1"/>
    <w:next w:val="1"/>
    <w:uiPriority w:val="0"/>
    <w:pPr>
      <w:spacing w:line="240" w:lineRule="atLeast"/>
      <w:ind w:left="420" w:firstLine="420"/>
      <w:jc w:val="left"/>
    </w:pPr>
    <w:rPr>
      <w:kern w:val="0"/>
      <w:szCs w:val="21"/>
    </w:rPr>
  </w:style>
  <w:style w:type="paragraph" w:customStyle="1" w:styleId="29">
    <w:name w:val="_Style 15"/>
    <w:next w:val="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Char1 Char Char Char Char Char Char1"/>
    <w:basedOn w:val="1"/>
    <w:uiPriority w:val="0"/>
    <w:rPr>
      <w:rFonts w:ascii="Tahoma" w:hAnsi="Tahoma"/>
      <w:sz w:val="24"/>
      <w:szCs w:val="20"/>
    </w:rPr>
  </w:style>
  <w:style w:type="paragraph" w:customStyle="1" w:styleId="31">
    <w:name w:val="_Style 16"/>
    <w:next w:val="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Char1"/>
    <w:basedOn w:val="1"/>
    <w:uiPriority w:val="0"/>
  </w:style>
  <w:style w:type="paragraph" w:customStyle="1" w:styleId="33">
    <w:name w:val="修订1"/>
    <w:hidden/>
    <w:uiPriority w:val="71"/>
    <w:rPr>
      <w:rFonts w:ascii="Times New Roman" w:hAnsi="Times New Roman" w:eastAsia="宋体" w:cs="Times New Roman"/>
      <w:kern w:val="2"/>
      <w:sz w:val="21"/>
      <w:szCs w:val="24"/>
      <w:lang w:val="en-US" w:eastAsia="zh-CN" w:bidi="ar-SA"/>
    </w:rPr>
  </w:style>
  <w:style w:type="paragraph" w:customStyle="1" w:styleId="34">
    <w:name w:val="List Paragraph"/>
    <w:basedOn w:val="1"/>
    <w:uiPriority w:val="72"/>
    <w:pPr>
      <w:ind w:firstLine="420" w:firstLineChars="200"/>
    </w:pPr>
  </w:style>
  <w:style w:type="paragraph" w:customStyle="1" w:styleId="35">
    <w:name w:val="p0"/>
    <w:basedOn w:val="1"/>
    <w:uiPriority w:val="0"/>
    <w:pPr>
      <w:widowControl/>
      <w:spacing w:before="100" w:beforeAutospacing="1" w:after="100" w:afterAutospacing="1"/>
      <w:jc w:val="left"/>
    </w:pPr>
    <w:rPr>
      <w:rFonts w:ascii="宋体" w:hAnsi="宋体" w:cs="宋体"/>
      <w:kern w:val="0"/>
      <w:sz w:val="24"/>
    </w:rPr>
  </w:style>
  <w:style w:type="character" w:customStyle="1" w:styleId="36">
    <w:name w:val="批注框文本 Char2"/>
    <w:uiPriority w:val="0"/>
    <w:rPr>
      <w:kern w:val="2"/>
      <w:sz w:val="18"/>
      <w:szCs w:val="18"/>
    </w:rPr>
  </w:style>
  <w:style w:type="character" w:customStyle="1" w:styleId="37">
    <w:name w:val="纯文本 Char"/>
    <w:link w:val="5"/>
    <w:uiPriority w:val="0"/>
    <w:rPr>
      <w:rFonts w:ascii="宋体" w:hAnsi="Courier New" w:cs="Courier New"/>
      <w:kern w:val="2"/>
      <w:sz w:val="21"/>
      <w:szCs w:val="21"/>
    </w:rPr>
  </w:style>
  <w:style w:type="character" w:customStyle="1" w:styleId="38">
    <w:name w:val="日期 Char"/>
    <w:link w:val="6"/>
    <w:uiPriority w:val="0"/>
    <w:rPr>
      <w:kern w:val="2"/>
      <w:sz w:val="21"/>
      <w:szCs w:val="24"/>
    </w:rPr>
  </w:style>
  <w:style w:type="character" w:customStyle="1" w:styleId="39">
    <w:name w:val="页眉 Char"/>
    <w:link w:val="9"/>
    <w:uiPriority w:val="0"/>
    <w:rPr>
      <w:kern w:val="2"/>
      <w:sz w:val="18"/>
      <w:szCs w:val="18"/>
    </w:rPr>
  </w:style>
  <w:style w:type="character" w:customStyle="1" w:styleId="40">
    <w:name w:val="页脚 Char2"/>
    <w:uiPriority w:val="0"/>
    <w:rPr>
      <w:kern w:val="2"/>
      <w:sz w:val="18"/>
      <w:szCs w:val="18"/>
    </w:rPr>
  </w:style>
  <w:style w:type="character" w:customStyle="1" w:styleId="41">
    <w:name w:val="批注主题 Char"/>
    <w:link w:val="3"/>
    <w:uiPriority w:val="0"/>
    <w:rPr>
      <w:b/>
      <w:bCs/>
      <w:kern w:val="2"/>
      <w:sz w:val="21"/>
      <w:szCs w:val="24"/>
    </w:rPr>
  </w:style>
  <w:style w:type="character" w:customStyle="1" w:styleId="42">
    <w:name w:val="日期 Char1"/>
    <w:uiPriority w:val="0"/>
    <w:rPr>
      <w:kern w:val="2"/>
      <w:sz w:val="21"/>
      <w:szCs w:val="24"/>
    </w:rPr>
  </w:style>
  <w:style w:type="character" w:customStyle="1" w:styleId="43">
    <w:name w:val="批注框文本 Char"/>
    <w:link w:val="7"/>
    <w:qFormat/>
    <w:uiPriority w:val="0"/>
    <w:rPr>
      <w:kern w:val="2"/>
      <w:sz w:val="18"/>
      <w:szCs w:val="18"/>
    </w:rPr>
  </w:style>
  <w:style w:type="character" w:customStyle="1" w:styleId="44">
    <w:name w:val="页脚 Char1"/>
    <w:uiPriority w:val="0"/>
    <w:rPr>
      <w:kern w:val="2"/>
      <w:sz w:val="18"/>
      <w:szCs w:val="18"/>
    </w:rPr>
  </w:style>
  <w:style w:type="character" w:customStyle="1" w:styleId="45">
    <w:name w:val="批注文字 Char"/>
    <w:link w:val="4"/>
    <w:uiPriority w:val="0"/>
    <w:rPr>
      <w:kern w:val="2"/>
      <w:sz w:val="21"/>
      <w:szCs w:val="24"/>
    </w:rPr>
  </w:style>
  <w:style w:type="character" w:customStyle="1" w:styleId="46">
    <w:name w:val="批注框文本 Char1"/>
    <w:qFormat/>
    <w:uiPriority w:val="0"/>
    <w:rPr>
      <w:kern w:val="2"/>
      <w:sz w:val="18"/>
      <w:szCs w:val="18"/>
    </w:rPr>
  </w:style>
  <w:style w:type="character" w:customStyle="1" w:styleId="47">
    <w:name w:val="页脚 Char"/>
    <w:link w:val="8"/>
    <w:qFormat/>
    <w:uiPriority w:val="0"/>
    <w:rPr>
      <w:kern w:val="2"/>
      <w:sz w:val="18"/>
      <w:szCs w:val="18"/>
    </w:rPr>
  </w:style>
  <w:style w:type="character" w:customStyle="1" w:styleId="48">
    <w:name w:val="页眉 Char1"/>
    <w:qFormat/>
    <w:uiPriority w:val="0"/>
    <w:rPr>
      <w:kern w:val="2"/>
      <w:sz w:val="18"/>
      <w:szCs w:val="18"/>
    </w:rPr>
  </w:style>
  <w:style w:type="character" w:customStyle="1" w:styleId="49">
    <w:name w:val="标题 1 Char"/>
    <w:link w:val="2"/>
    <w:qFormat/>
    <w:uiPriority w:val="0"/>
    <w:rPr>
      <w:b/>
      <w:bCs/>
      <w:kern w:val="44"/>
      <w:sz w:val="44"/>
      <w:szCs w:val="44"/>
    </w:rPr>
  </w:style>
  <w:style w:type="character" w:customStyle="1" w:styleId="50">
    <w:name w:val="apple-converted-space"/>
    <w:uiPriority w:val="0"/>
  </w:style>
  <w:style w:type="table" w:customStyle="1" w:styleId="51">
    <w:name w:val="网格型1"/>
    <w:basedOn w:val="16"/>
    <w:uiPriority w:val="39"/>
    <w:pPr/>
    <w:rPr>
      <w:rFonts w:ascii="Calibri" w:hAnsi="Calibri"/>
      <w:kern w:val="2"/>
      <w:sz w:val="21"/>
      <w:szCs w:val="22"/>
    </w:rPr>
    <w:tblPr>
      <w:tblStyle w:val="1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中华人民共和国卫生部</Company>
  <Pages>4</Pages>
  <Words>247</Words>
  <Characters>1409</Characters>
  <Lines>11</Lines>
  <Paragraphs>3</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2019-02-12T08:24:00Z</dcterms:created>
  <dc:creator>X</dc:creator>
  <cp:lastModifiedBy>王开斌</cp:lastModifiedBy>
  <cp:lastPrinted>2017-02-07T01:40:00Z</cp:lastPrinted>
  <dcterms:modified xsi:type="dcterms:W3CDTF">2020-04-15T07:58:35Z</dcterms:modified>
  <dc:title>卫办监督发〔2011〕  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